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111FD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PLANIFICACIÓN ESTRATEGIA DE CAMPAÑAS PUBLICITARIAS </w:t>
            </w:r>
            <w:r w:rsidR="00614E85">
              <w:rPr>
                <w:rFonts w:ascii="Arial" w:hAnsi="Arial" w:cs="Arial"/>
                <w:sz w:val="24"/>
                <w:szCs w:val="24"/>
              </w:rPr>
              <w:t xml:space="preserve"> (AÑO 2019</w:t>
            </w:r>
            <w:r w:rsidR="006703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HUMANIDADES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>PRIMER SEMESTRE – AÑO</w:t>
      </w:r>
      <w:r w:rsidR="00614E85">
        <w:rPr>
          <w:rFonts w:ascii="Arial" w:hAnsi="Arial" w:cs="Arial"/>
          <w:sz w:val="24"/>
          <w:szCs w:val="24"/>
        </w:rPr>
        <w:t xml:space="preserve"> 2019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HORAS  TOTALES 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5"/>
      </w:tblGrid>
      <w:tr w:rsidR="0077136C" w:rsidRPr="00C47750" w:rsidTr="00214AAF">
        <w:tc>
          <w:tcPr>
            <w:tcW w:w="8975" w:type="dxa"/>
          </w:tcPr>
          <w:p w:rsidR="00214AAF" w:rsidRPr="00C47750" w:rsidRDefault="00614E85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PROFESORA SUPLENTE</w:t>
            </w:r>
            <w:r w:rsidR="0077136C" w:rsidRPr="00C4775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60C90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sz w:val="24"/>
                <w:szCs w:val="24"/>
              </w:rPr>
              <w:t>SILECI FERNANDA</w:t>
            </w:r>
          </w:p>
          <w:p w:rsidR="0077136C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D2504" w:rsidRPr="00C47750" w:rsidRDefault="000D2504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260C90" w:rsidRDefault="00260C9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TODAS, VERIFICAR PLANES DE ESTUDIO.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1E676B" w:rsidRPr="004E3A4D" w:rsidRDefault="00547B5C" w:rsidP="001E6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Necesidad de 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integrar</w:t>
            </w:r>
            <w:r w:rsidR="001E676B">
              <w:rPr>
                <w:rFonts w:ascii="Times New Roman" w:hAnsi="Times New Roman"/>
                <w:sz w:val="28"/>
                <w:szCs w:val="28"/>
              </w:rPr>
              <w:t>,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en el futuro profesional</w:t>
            </w:r>
            <w:r w:rsidR="001E676B">
              <w:rPr>
                <w:rFonts w:ascii="Times New Roman" w:hAnsi="Times New Roman"/>
                <w:sz w:val="28"/>
                <w:szCs w:val="28"/>
              </w:rPr>
              <w:t>,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los conocimientos necesarios para planificar una campaña</w:t>
            </w:r>
            <w:r w:rsidR="001E676B">
              <w:rPr>
                <w:rFonts w:ascii="Times New Roman" w:hAnsi="Times New Roman"/>
                <w:sz w:val="28"/>
                <w:szCs w:val="28"/>
              </w:rPr>
              <w:t xml:space="preserve"> publicitaria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bajo la estrategia de “comunicaciones integradas de mercadotecnia” (CIM).</w:t>
            </w:r>
          </w:p>
          <w:p w:rsidR="007B0C81" w:rsidRDefault="00547B5C" w:rsidP="001E6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Desarrollo de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capacidad</w:t>
            </w:r>
            <w:r>
              <w:rPr>
                <w:rFonts w:ascii="Times New Roman" w:hAnsi="Times New Roman"/>
                <w:sz w:val="28"/>
                <w:szCs w:val="28"/>
              </w:rPr>
              <w:t>es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para expresar un producto o servicio en términos de valores del consumidor y resolver estrategias comunicacionales que, a partir de los valores del consumidor, integren los conceptos de segmentación, objetivización y posicionamiento de un </w:t>
            </w:r>
            <w:r w:rsidR="001E676B">
              <w:rPr>
                <w:rFonts w:ascii="Times New Roman" w:hAnsi="Times New Roman"/>
                <w:sz w:val="28"/>
                <w:szCs w:val="28"/>
              </w:rPr>
              <w:t xml:space="preserve">producto o servicio 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>marca</w:t>
            </w:r>
            <w:r w:rsidR="001E67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0C90" w:rsidRPr="007B0C81" w:rsidRDefault="007B0C81" w:rsidP="007B0C8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Integración de 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>los conocimientos adquiridos en las distintas materias de la carrera e incorporarlos en un plan estratégico, resuelto a partir del</w:t>
            </w:r>
            <w:r w:rsidR="001E676B">
              <w:rPr>
                <w:rFonts w:ascii="Times New Roman" w:hAnsi="Times New Roman"/>
                <w:sz w:val="28"/>
                <w:szCs w:val="28"/>
              </w:rPr>
              <w:t>a investigación y</w:t>
            </w:r>
            <w:r w:rsidR="001E676B" w:rsidRPr="004E3A4D">
              <w:rPr>
                <w:rFonts w:ascii="Times New Roman" w:hAnsi="Times New Roman"/>
                <w:sz w:val="28"/>
                <w:szCs w:val="28"/>
              </w:rPr>
              <w:t xml:space="preserve"> análisis de la totalidad de factores de la mezcla de mercadotecnia.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Generales</w:t>
            </w:r>
          </w:p>
          <w:p w:rsidR="0077136C" w:rsidRPr="00C47750" w:rsidRDefault="001F088B" w:rsidP="00A508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Pensador estratégico de las comunicaciones integradas de la marca </w:t>
            </w:r>
            <w:r w:rsidR="00260C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Conceptuales Específicas</w:t>
            </w:r>
          </w:p>
          <w:p w:rsidR="00260C90" w:rsidRPr="00C47750" w:rsidRDefault="001F088B" w:rsidP="00260C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Integrador de las capacidades comunicativas de los distintos puntos de contacto marca - cliente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Procedimentales Específicas</w:t>
            </w:r>
          </w:p>
          <w:p w:rsidR="00260C90" w:rsidRPr="00C47750" w:rsidRDefault="00547B5C" w:rsidP="00260C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Armonizador de las acciones de los departamentos de investigación de mercados, medios y marketing.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Actitudinales Específicas</w:t>
            </w:r>
          </w:p>
          <w:p w:rsidR="00260C90" w:rsidRPr="00C47750" w:rsidRDefault="00547B5C" w:rsidP="00260C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Buceador de pensamientos estratégicos sobre el desarrollo de marcas</w:t>
            </w:r>
            <w:r w:rsidR="00260C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20D4" w:rsidRPr="00C47750" w:rsidRDefault="005C743F">
      <w:pPr>
        <w:rPr>
          <w:rFonts w:ascii="Arial" w:hAnsi="Arial" w:cs="Arial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B6131" w:rsidRDefault="00015E90" w:rsidP="008B61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I: </w:t>
            </w:r>
            <w:r w:rsidR="00260C90">
              <w:rPr>
                <w:rFonts w:ascii="Arial" w:hAnsi="Arial" w:cs="Arial"/>
                <w:b/>
                <w:bCs/>
                <w:sz w:val="24"/>
                <w:szCs w:val="24"/>
              </w:rPr>
              <w:t>Nombre del Módulo</w:t>
            </w:r>
          </w:p>
          <w:p w:rsidR="001E61A3" w:rsidRDefault="00015E90" w:rsidP="008B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br/>
            </w:r>
            <w:r w:rsidR="001E61A3"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Origen y rol de la planificación estratégica de la comunicación publicitaria.</w:t>
            </w:r>
          </w:p>
          <w:p w:rsidR="001E61A3" w:rsidRDefault="001E61A3" w:rsidP="008B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El Planificador de Campañas (Account Planning). Funciones del planificador.</w:t>
            </w:r>
          </w:p>
          <w:p w:rsidR="001E61A3" w:rsidRDefault="001E61A3" w:rsidP="008B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Concepto de Comunicaciones Integradas de Mercadotecnia.</w:t>
            </w:r>
          </w:p>
          <w:p w:rsidR="001E61A3" w:rsidRDefault="001E61A3" w:rsidP="008B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Storytelling de la marca.</w:t>
            </w:r>
          </w:p>
          <w:p w:rsidR="00015E90" w:rsidRDefault="001E61A3" w:rsidP="008B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Momentos de la planificación: Análisis de situación. Estrategias de intervención en el mercado. Planes operativos. Objetivos publicitarios</w:t>
            </w:r>
          </w:p>
          <w:p w:rsidR="001E61A3" w:rsidRPr="00C47750" w:rsidRDefault="001E61A3" w:rsidP="001E61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  <w:r w:rsidR="00197DD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(se debe utilizar las normas APA)</w:t>
            </w:r>
          </w:p>
          <w:p w:rsidR="00A70445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 xml:space="preserve">APG España </w:t>
            </w:r>
            <w:r w:rsidRPr="00B459D4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¿Qué es la planificación estratégica (Account Planning)? (y qué es lo que hace exactamen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te un planificador estratégico)</w:t>
            </w:r>
          </w:p>
          <w:p w:rsidR="00551D8F" w:rsidRDefault="00551D8F" w:rsidP="0055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O´guin, Allen, Semenik Publicidad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. México Thomson Editores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 pág. 106-108. </w:t>
            </w:r>
          </w:p>
          <w:p w:rsidR="00551D8F" w:rsidRDefault="00551D8F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Comunicaciones Integradas de Mercadotecnia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Momentos de una planificación de campañas publicitarias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.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 Ficha de Cátedra</w:t>
            </w:r>
          </w:p>
          <w:p w:rsidR="00A70445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A946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Gema Sánchez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Storytellin y planificación publicitaria. Ficha de Cátedra</w:t>
            </w:r>
          </w:p>
          <w:p w:rsidR="00551D8F" w:rsidRPr="00551D8F" w:rsidRDefault="00551D8F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551D8F">
              <w:rPr>
                <w:rFonts w:ascii="Times New Roman" w:hAnsi="Times New Roman"/>
                <w:sz w:val="28"/>
                <w:szCs w:val="28"/>
              </w:rPr>
              <w:t>Rodríguez, S., (2013, 25 de Julio). Storytelling: Historias que permanecen. Prnoticias.</w:t>
            </w:r>
          </w:p>
          <w:p w:rsidR="00A70445" w:rsidRDefault="00A70445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0445" w:rsidRDefault="00015E90" w:rsidP="00C564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II: </w:t>
            </w:r>
            <w:r w:rsidR="00C56437">
              <w:rPr>
                <w:rFonts w:ascii="Arial" w:hAnsi="Arial" w:cs="Arial"/>
                <w:b/>
                <w:bCs/>
                <w:sz w:val="24"/>
                <w:szCs w:val="24"/>
              </w:rPr>
              <w:t>Análisis de situación</w:t>
            </w:r>
            <w:r w:rsidR="00260C90" w:rsidRPr="00C47750">
              <w:rPr>
                <w:rFonts w:ascii="Arial" w:hAnsi="Arial" w:cs="Arial"/>
                <w:sz w:val="24"/>
                <w:szCs w:val="24"/>
              </w:rPr>
              <w:br/>
            </w:r>
            <w:r w:rsidR="00A70445"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 xml:space="preserve">Gestión de la marca: Incremento cuantitativo y cualitativo de la oferta. Saturación de los mercados.  Apertura de las empresas a la comunicación. Polución mediática.  Diversificación de los comportamientos sociales. Diversificación de los comportamientos de los consumidores.  Dilución del consumo en la vida. 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Motivaciones y fuentes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Modelos de decisión del consumidor.</w:t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Andrea Semprini El marketing de la marca Paidos Empresa 38</w:t>
            </w:r>
          </w:p>
          <w:p w:rsidR="00A70445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pag. 19 a 38</w:t>
            </w:r>
          </w:p>
          <w:p w:rsidR="0002208A" w:rsidRPr="00551D8F" w:rsidRDefault="007D2B1E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</w:pPr>
            <w:r w:rsidRPr="00551D8F">
              <w:rPr>
                <w:rFonts w:ascii="Times New Roman" w:hAnsi="Times New Roman"/>
                <w:sz w:val="28"/>
                <w:szCs w:val="28"/>
              </w:rPr>
              <w:lastRenderedPageBreak/>
              <w:t>Bassat, L., (2006), El libro rojo de las marcas. Madrid, España: Ediciones Espasa Calpe, S.A</w:t>
            </w:r>
            <w:r w:rsidR="0002208A" w:rsidRPr="00551D8F">
              <w:rPr>
                <w:rFonts w:ascii="Times New Roman" w:hAnsi="Times New Roman"/>
                <w:bCs/>
                <w:color w:val="000000"/>
                <w:sz w:val="28"/>
                <w:szCs w:val="28"/>
                <w:lang w:val="es-ES"/>
              </w:rPr>
              <w:t>Pag. 50-66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Motivación y fuentes. Fi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ch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a de Cátedra</w:t>
            </w:r>
          </w:p>
          <w:p w:rsidR="00015E90" w:rsidRPr="00551D8F" w:rsidRDefault="00A70445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Publicidad O´guin, Allen, Semenik, pag. 126-132. Cuatro modelos de decisión</w:t>
            </w:r>
          </w:p>
          <w:p w:rsidR="00A70445" w:rsidRDefault="00015E90" w:rsidP="00C564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III: </w:t>
            </w:r>
            <w:r w:rsidR="00C56437">
              <w:rPr>
                <w:rFonts w:ascii="Arial" w:hAnsi="Arial" w:cs="Arial"/>
                <w:b/>
                <w:bCs/>
                <w:sz w:val="24"/>
                <w:szCs w:val="24"/>
              </w:rPr>
              <w:t>Estrategia de intervención en el mercado</w:t>
            </w:r>
            <w:r w:rsidR="00260C90" w:rsidRPr="00C47750">
              <w:rPr>
                <w:rFonts w:ascii="Arial" w:hAnsi="Arial" w:cs="Arial"/>
                <w:sz w:val="24"/>
                <w:szCs w:val="24"/>
              </w:rPr>
              <w:br/>
            </w:r>
            <w:r w:rsidR="00A70445"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Gestión de la marca:  Desmaterialización de los productos. Pérdida de sentido de los productos. Atribución de un nuevo peso simbólico a los productos.</w:t>
            </w:r>
          </w:p>
          <w:p w:rsidR="00A70445" w:rsidRDefault="00A70445" w:rsidP="00A7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Definición/re definición de la tipología del producto: Momentos comunicacionales del producto.</w:t>
            </w:r>
          </w:p>
          <w:p w:rsidR="00A70445" w:rsidRDefault="00A70445" w:rsidP="00A7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Definición/re definición de la función técnica del producto: La innovación.</w:t>
            </w:r>
          </w:p>
          <w:p w:rsidR="00A70445" w:rsidRDefault="00A70445" w:rsidP="00A7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Definición/re definición de la función psicológica del producto: Momentos comunicacionales del producto.</w:t>
            </w:r>
          </w:p>
          <w:p w:rsidR="00A70445" w:rsidRDefault="00A70445" w:rsidP="00A7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Posicionamiento: Por beneficios. Por usuario o segmento. Competitivo.</w:t>
            </w:r>
          </w:p>
          <w:p w:rsidR="00A70445" w:rsidRDefault="00A70445" w:rsidP="00A7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Definición/re definición de un significado para la marca: Identificación de la identidad de la marca.</w:t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Andrea Semprini El marketing de la marca Paidos Empresa 38pag. 19 a 38.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Publicidad O´guin, Allen, Semenik, pag.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126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131 </w:t>
            </w: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Momentos comunicacionales del Producto</w:t>
            </w:r>
          </w:p>
          <w:p w:rsidR="00A70445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La innovación. Ficha de Cátedra.</w:t>
            </w:r>
          </w:p>
          <w:p w:rsidR="0080671D" w:rsidRPr="00551D8F" w:rsidRDefault="0080671D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51D8F">
              <w:rPr>
                <w:rFonts w:ascii="Times New Roman" w:hAnsi="Times New Roman"/>
                <w:sz w:val="28"/>
                <w:szCs w:val="28"/>
              </w:rPr>
              <w:t>Martí, J., García-Ochoa, Y., Y Aldás, J., (2012), La publicidad actual: Retos y oportunidades. Pensar la publicidad, 6 (2), 327-343.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Andrea Semprini El marketing de la marca Paidos Empresa 38pag. 79 a 88</w:t>
            </w:r>
          </w:p>
          <w:p w:rsidR="00015E90" w:rsidRPr="00C47750" w:rsidRDefault="00015E90" w:rsidP="00A5082D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ab/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MÓDULO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V: </w:t>
            </w:r>
            <w:r w:rsidRPr="00A70445">
              <w:rPr>
                <w:rFonts w:ascii="Times New Roman" w:eastAsia="Times New Roman" w:hAnsi="Times New Roman"/>
                <w:b/>
                <w:sz w:val="28"/>
                <w:szCs w:val="28"/>
                <w:lang w:eastAsia="es-AR"/>
              </w:rPr>
              <w:t>Planes operativos</w:t>
            </w:r>
            <w:r w:rsidRPr="00C47750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Alternativas para operar en el producto.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Alternativas para operar en precios.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Alternativas para operar en canales.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Alternativas para operar en publicidad.</w:t>
            </w:r>
          </w:p>
          <w:p w:rsid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El Brief publicitario.</w:t>
            </w:r>
          </w:p>
          <w:p w:rsidR="00A70445" w:rsidRPr="00C47750" w:rsidRDefault="00A70445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0445" w:rsidRPr="00C47750" w:rsidRDefault="00A70445" w:rsidP="00A704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A70445" w:rsidRPr="00521DB4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B4">
              <w:rPr>
                <w:rFonts w:ascii="Times New Roman" w:hAnsi="Times New Roman"/>
                <w:sz w:val="28"/>
                <w:szCs w:val="28"/>
              </w:rPr>
              <w:t xml:space="preserve">Lic. Raúl Bustamante Revista Publicidad y Empresas/FAMA 87 Estrategia de posicionamiento marca/producto – </w:t>
            </w:r>
          </w:p>
          <w:p w:rsidR="00A70445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Publicidad O´guin, Allen, Semenik, pag. 302-310</w:t>
            </w:r>
          </w:p>
          <w:p w:rsidR="00A70445" w:rsidRPr="00430830" w:rsidRDefault="00A70445" w:rsidP="00A7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Ficha de cátedra</w:t>
            </w:r>
            <w:r w:rsidRPr="00430830">
              <w:rPr>
                <w:rFonts w:ascii="Times New Roman" w:hAnsi="Times New Roman"/>
                <w:lang w:val="es-ES"/>
              </w:rPr>
              <w:t xml:space="preserve">: </w:t>
            </w:r>
            <w:r w:rsidRPr="00430830">
              <w:rPr>
                <w:rFonts w:ascii="Times New Roman" w:hAnsi="Times New Roman"/>
                <w:sz w:val="28"/>
                <w:szCs w:val="28"/>
                <w:lang w:val="es-ES"/>
              </w:rPr>
              <w:t>E</w:t>
            </w:r>
            <w:r w:rsidRPr="00430830">
              <w:rPr>
                <w:rFonts w:ascii="Times New Roman" w:eastAsia="Times New Roman" w:hAnsi="Times New Roman"/>
                <w:bCs/>
                <w:sz w:val="28"/>
                <w:szCs w:val="28"/>
                <w:lang w:eastAsia="es-ES"/>
              </w:rPr>
              <w:t>l brief: qué es y para qué sirve</w:t>
            </w: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70445" w:rsidRDefault="00A70445" w:rsidP="00A704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V: </w:t>
            </w:r>
            <w:r w:rsidR="00910272" w:rsidRPr="00910272">
              <w:rPr>
                <w:rFonts w:ascii="Times New Roman" w:eastAsia="Times New Roman" w:hAnsi="Times New Roman"/>
                <w:b/>
                <w:sz w:val="28"/>
                <w:szCs w:val="28"/>
                <w:lang w:eastAsia="es-AR"/>
              </w:rPr>
              <w:t>Objetivos publicitarios</w:t>
            </w:r>
          </w:p>
          <w:p w:rsidR="00910272" w:rsidRPr="00D22DB2" w:rsidRDefault="00910272" w:rsidP="009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s-AR"/>
              </w:rPr>
              <w:t>P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romover la recordación de la marca</w:t>
            </w:r>
            <w:r>
              <w:rPr>
                <w:rFonts w:ascii="Times New Roman" w:hAnsi="Times New Roman"/>
                <w:sz w:val="28"/>
                <w:szCs w:val="28"/>
              </w:rPr>
              <w:t>. I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 xml:space="preserve">ncrementar el conocimiento y </w:t>
            </w:r>
            <w:r w:rsidRPr="00D22DB2">
              <w:rPr>
                <w:rFonts w:ascii="Times New Roman" w:hAnsi="Times New Roman"/>
                <w:sz w:val="28"/>
                <w:szCs w:val="28"/>
              </w:rPr>
              <w:lastRenderedPageBreak/>
              <w:t>comprensión sobre la marca</w:t>
            </w:r>
            <w:r>
              <w:rPr>
                <w:rFonts w:ascii="Times New Roman" w:hAnsi="Times New Roman"/>
                <w:sz w:val="28"/>
                <w:szCs w:val="28"/>
              </w:rPr>
              <w:t>. C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ambiar las creencias</w:t>
            </w:r>
            <w:r>
              <w:rPr>
                <w:rFonts w:ascii="Times New Roman" w:hAnsi="Times New Roman"/>
                <w:sz w:val="28"/>
                <w:szCs w:val="28"/>
              </w:rPr>
              <w:t>. I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nfluir en el uso a prueba</w:t>
            </w:r>
            <w:r>
              <w:rPr>
                <w:rFonts w:ascii="Times New Roman" w:hAnsi="Times New Roman"/>
                <w:sz w:val="28"/>
                <w:szCs w:val="28"/>
              </w:rPr>
              <w:t>. C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onvertir usuarios oscilantes en leales</w:t>
            </w:r>
            <w:r>
              <w:rPr>
                <w:rFonts w:ascii="Times New Roman" w:hAnsi="Times New Roman"/>
                <w:sz w:val="28"/>
                <w:szCs w:val="28"/>
              </w:rPr>
              <w:t>. L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ograr que usuarios de marcas competitivas cambien</w:t>
            </w:r>
            <w:r>
              <w:rPr>
                <w:rFonts w:ascii="Times New Roman" w:hAnsi="Times New Roman"/>
                <w:sz w:val="28"/>
                <w:szCs w:val="28"/>
              </w:rPr>
              <w:t>. I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nculcar la preferencia por la marca</w:t>
            </w:r>
            <w:r>
              <w:rPr>
                <w:rFonts w:ascii="Times New Roman" w:hAnsi="Times New Roman"/>
                <w:sz w:val="28"/>
                <w:szCs w:val="28"/>
              </w:rPr>
              <w:t>. A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temorizar al consumidor</w:t>
            </w:r>
            <w:r>
              <w:rPr>
                <w:rFonts w:ascii="Times New Roman" w:hAnsi="Times New Roman"/>
                <w:sz w:val="28"/>
                <w:szCs w:val="28"/>
              </w:rPr>
              <w:t>. C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ambiar el comportamiento fomentando angustia</w:t>
            </w:r>
          </w:p>
          <w:p w:rsidR="00A70445" w:rsidRDefault="00910272" w:rsidP="009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ransformar las experiencias de consumo</w:t>
            </w:r>
            <w:r>
              <w:rPr>
                <w:rFonts w:ascii="Times New Roman" w:hAnsi="Times New Roman"/>
                <w:sz w:val="28"/>
                <w:szCs w:val="28"/>
              </w:rPr>
              <w:t>. S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ituar socialmente la marca</w:t>
            </w:r>
            <w:r>
              <w:rPr>
                <w:rFonts w:ascii="Times New Roman" w:hAnsi="Times New Roman"/>
                <w:sz w:val="28"/>
                <w:szCs w:val="28"/>
              </w:rPr>
              <w:t>. P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ersuadir al consumidor</w:t>
            </w:r>
            <w:r>
              <w:rPr>
                <w:rFonts w:ascii="Times New Roman" w:hAnsi="Times New Roman"/>
                <w:sz w:val="28"/>
                <w:szCs w:val="28"/>
              </w:rPr>
              <w:t>. P</w:t>
            </w:r>
            <w:r w:rsidRPr="00D22DB2">
              <w:rPr>
                <w:rFonts w:ascii="Times New Roman" w:hAnsi="Times New Roman"/>
                <w:sz w:val="28"/>
                <w:szCs w:val="28"/>
              </w:rPr>
              <w:t>rovocar una respuesta directa</w:t>
            </w:r>
            <w:r w:rsidR="00CF5F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D2B1E">
              <w:rPr>
                <w:rFonts w:ascii="Times New Roman" w:hAnsi="Times New Roman"/>
                <w:sz w:val="28"/>
                <w:szCs w:val="28"/>
              </w:rPr>
              <w:t>Publicidad digital</w:t>
            </w:r>
          </w:p>
          <w:p w:rsidR="00C56437" w:rsidRDefault="00C56437" w:rsidP="009102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0272" w:rsidRPr="00C47750" w:rsidRDefault="00910272" w:rsidP="009102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910272" w:rsidRDefault="00910272" w:rsidP="009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DB4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Publicidad O´guin, Allen, Semenik, pag. 275-291</w:t>
            </w:r>
          </w:p>
          <w:p w:rsidR="00910272" w:rsidRPr="00551D8F" w:rsidRDefault="007D2B1E" w:rsidP="009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551D8F">
              <w:rPr>
                <w:rFonts w:ascii="Times New Roman" w:hAnsi="Times New Roman"/>
                <w:sz w:val="28"/>
                <w:szCs w:val="28"/>
              </w:rPr>
              <w:t>Kaufmann, J., (2014), De la publicidad tradicional a la publicidad digital. Universidad de Navarra.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260C90" w:rsidRDefault="00AD2C24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Publicidad, T O´Guinn, C Allen, R Semenik</w:t>
            </w:r>
          </w:p>
          <w:p w:rsidR="00260C90" w:rsidRPr="00C47750" w:rsidRDefault="00260C90" w:rsidP="008F04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</w:p>
          <w:p w:rsidR="00C56437" w:rsidRDefault="00015E90" w:rsidP="00C564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PRÁCTICAS: </w:t>
            </w:r>
            <w:r w:rsidR="00C56437">
              <w:rPr>
                <w:rFonts w:ascii="Arial" w:hAnsi="Arial" w:cs="Arial"/>
                <w:sz w:val="24"/>
                <w:szCs w:val="24"/>
              </w:rPr>
              <w:t>Alternativas de operativas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 de las formulaciones teóricas abordadas en la unidad. </w:t>
            </w:r>
          </w:p>
          <w:p w:rsidR="00015E90" w:rsidRPr="00C47750" w:rsidRDefault="00015E90" w:rsidP="00C564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C564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regularidad se obtendrá mediante la asistencia al 7</w:t>
            </w:r>
            <w:r w:rsidR="00C56437">
              <w:rPr>
                <w:rFonts w:ascii="Arial" w:hAnsi="Arial" w:cs="Arial"/>
                <w:sz w:val="24"/>
                <w:szCs w:val="24"/>
              </w:rPr>
              <w:t>5</w:t>
            </w:r>
            <w:r w:rsidRPr="00C47750">
              <w:rPr>
                <w:rFonts w:ascii="Arial" w:hAnsi="Arial" w:cs="Arial"/>
                <w:sz w:val="24"/>
                <w:szCs w:val="24"/>
              </w:rPr>
              <w:t>% de las clases teóricas y la asistencia y aprobación del 100% de las clases prácticas y la aprobación de las dos evaluaciones parciales con un puntaje superior al 60%. Cada parcial y trabajo práctico tendrá una recuperación.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EVALUACIÓN Y PROMOCIÓN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Default="00C5643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Promoción directa: Dos parciales y trabajo práctico final con nota </w:t>
            </w:r>
            <w:r w:rsidR="006E23DF">
              <w:rPr>
                <w:rFonts w:ascii="Arial" w:hAnsi="Arial" w:cs="Arial"/>
                <w:sz w:val="24"/>
                <w:szCs w:val="24"/>
              </w:rPr>
              <w:t xml:space="preserve">mínima del 60% 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E23DF">
              <w:rPr>
                <w:rFonts w:ascii="Arial" w:hAnsi="Arial" w:cs="Arial"/>
                <w:sz w:val="24"/>
                <w:szCs w:val="24"/>
              </w:rPr>
              <w:t>seis).</w:t>
            </w:r>
          </w:p>
          <w:p w:rsidR="00C56437" w:rsidRPr="00C47750" w:rsidRDefault="00C5643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Promoción indirecta: obtenida la regularidad y no la promoción directa, mediante exámen integrado global con calificación igual o superior a seis (60%)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</w:rPr>
      </w:pPr>
    </w:p>
    <w:p w:rsidR="000A2FF0" w:rsidRPr="00C47750" w:rsidRDefault="000A2FF0">
      <w:pPr>
        <w:rPr>
          <w:rFonts w:ascii="Arial" w:hAnsi="Arial" w:cs="Arial"/>
        </w:rPr>
      </w:pPr>
      <w:bookmarkStart w:id="0" w:name="_GoBack"/>
      <w:bookmarkEnd w:id="0"/>
    </w:p>
    <w:sectPr w:rsidR="000A2FF0" w:rsidRPr="00C47750" w:rsidSect="004B1CA0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43F" w:rsidRDefault="005C743F" w:rsidP="003661D8">
      <w:pPr>
        <w:spacing w:after="0" w:line="240" w:lineRule="auto"/>
      </w:pPr>
      <w:r>
        <w:separator/>
      </w:r>
    </w:p>
  </w:endnote>
  <w:endnote w:type="continuationSeparator" w:id="1">
    <w:p w:rsidR="005C743F" w:rsidRDefault="005C743F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83933"/>
      <w:docPartObj>
        <w:docPartGallery w:val="Page Numbers (Bottom of Page)"/>
        <w:docPartUnique/>
      </w:docPartObj>
    </w:sdtPr>
    <w:sdtContent>
      <w:p w:rsidR="003661D8" w:rsidRDefault="00C91EE4">
        <w:pPr>
          <w:pStyle w:val="Piedepgina"/>
          <w:jc w:val="right"/>
        </w:pPr>
        <w:r>
          <w:fldChar w:fldCharType="begin"/>
        </w:r>
        <w:r w:rsidR="003661D8">
          <w:instrText>PAGE   \* MERGEFORMAT</w:instrText>
        </w:r>
        <w:r>
          <w:fldChar w:fldCharType="separate"/>
        </w:r>
        <w:r w:rsidR="006E23DF" w:rsidRPr="006E23DF">
          <w:rPr>
            <w:noProof/>
            <w:lang w:val="es-ES"/>
          </w:rPr>
          <w:t>5</w:t>
        </w:r>
        <w:r>
          <w:fldChar w:fldCharType="end"/>
        </w:r>
      </w:p>
    </w:sdtContent>
  </w:sdt>
  <w:p w:rsidR="003661D8" w:rsidRDefault="00366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43F" w:rsidRDefault="005C743F" w:rsidP="003661D8">
      <w:pPr>
        <w:spacing w:after="0" w:line="240" w:lineRule="auto"/>
      </w:pPr>
      <w:r>
        <w:separator/>
      </w:r>
    </w:p>
  </w:footnote>
  <w:footnote w:type="continuationSeparator" w:id="1">
    <w:p w:rsidR="005C743F" w:rsidRDefault="005C743F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Default="00C47750" w:rsidP="00C47750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Pr="00C47750" w:rsidRDefault="00C47750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136C"/>
    <w:rsid w:val="000017F1"/>
    <w:rsid w:val="00015E90"/>
    <w:rsid w:val="0002208A"/>
    <w:rsid w:val="0006777C"/>
    <w:rsid w:val="000A2FF0"/>
    <w:rsid w:val="000B2314"/>
    <w:rsid w:val="000C2DAD"/>
    <w:rsid w:val="000D2504"/>
    <w:rsid w:val="00110CA2"/>
    <w:rsid w:val="00111FD1"/>
    <w:rsid w:val="00160C5B"/>
    <w:rsid w:val="00197DD0"/>
    <w:rsid w:val="001E61A3"/>
    <w:rsid w:val="001E676B"/>
    <w:rsid w:val="001F088B"/>
    <w:rsid w:val="00214AAF"/>
    <w:rsid w:val="00260C90"/>
    <w:rsid w:val="00317D17"/>
    <w:rsid w:val="00363D4F"/>
    <w:rsid w:val="003661D8"/>
    <w:rsid w:val="003A318F"/>
    <w:rsid w:val="003A4E1C"/>
    <w:rsid w:val="004452E8"/>
    <w:rsid w:val="0045546F"/>
    <w:rsid w:val="004B1CA0"/>
    <w:rsid w:val="00547B5C"/>
    <w:rsid w:val="00551D8F"/>
    <w:rsid w:val="00594908"/>
    <w:rsid w:val="005C743F"/>
    <w:rsid w:val="00614E85"/>
    <w:rsid w:val="0063735B"/>
    <w:rsid w:val="006703D6"/>
    <w:rsid w:val="006E23DF"/>
    <w:rsid w:val="0071485A"/>
    <w:rsid w:val="0073766D"/>
    <w:rsid w:val="0077136C"/>
    <w:rsid w:val="007A0C9F"/>
    <w:rsid w:val="007B0C81"/>
    <w:rsid w:val="007D2B1E"/>
    <w:rsid w:val="0080671D"/>
    <w:rsid w:val="0085174D"/>
    <w:rsid w:val="008568DE"/>
    <w:rsid w:val="008B6131"/>
    <w:rsid w:val="008F0442"/>
    <w:rsid w:val="00910272"/>
    <w:rsid w:val="009A6C33"/>
    <w:rsid w:val="009F7BDD"/>
    <w:rsid w:val="00A01A69"/>
    <w:rsid w:val="00A4448F"/>
    <w:rsid w:val="00A45625"/>
    <w:rsid w:val="00A557A0"/>
    <w:rsid w:val="00A70445"/>
    <w:rsid w:val="00A84A9E"/>
    <w:rsid w:val="00AC014E"/>
    <w:rsid w:val="00AD2C24"/>
    <w:rsid w:val="00AE6DD5"/>
    <w:rsid w:val="00B167CA"/>
    <w:rsid w:val="00B854F7"/>
    <w:rsid w:val="00BD0CE2"/>
    <w:rsid w:val="00C11C83"/>
    <w:rsid w:val="00C47750"/>
    <w:rsid w:val="00C56437"/>
    <w:rsid w:val="00C91EE4"/>
    <w:rsid w:val="00CB087C"/>
    <w:rsid w:val="00CF5F89"/>
    <w:rsid w:val="00D27E74"/>
    <w:rsid w:val="00D3793D"/>
    <w:rsid w:val="00D775EE"/>
    <w:rsid w:val="00F24538"/>
    <w:rsid w:val="00F5461A"/>
    <w:rsid w:val="00FF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Decanato-01</cp:lastModifiedBy>
  <cp:revision>3</cp:revision>
  <cp:lastPrinted>2018-02-27T14:12:00Z</cp:lastPrinted>
  <dcterms:created xsi:type="dcterms:W3CDTF">2019-03-07T14:01:00Z</dcterms:created>
  <dcterms:modified xsi:type="dcterms:W3CDTF">2019-03-19T20:30:00Z</dcterms:modified>
</cp:coreProperties>
</file>