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8F" w:rsidRDefault="003A318F" w:rsidP="0077136C">
      <w:pPr>
        <w:spacing w:after="0" w:line="240" w:lineRule="auto"/>
        <w:rPr>
          <w:rFonts w:ascii="Arial" w:hAnsi="Arial" w:cs="Arial"/>
        </w:rPr>
      </w:pPr>
    </w:p>
    <w:p w:rsidR="003A318F" w:rsidRDefault="003A318F" w:rsidP="0077136C">
      <w:pPr>
        <w:spacing w:after="0" w:line="240" w:lineRule="auto"/>
        <w:rPr>
          <w:rFonts w:ascii="Arial" w:hAnsi="Arial" w:cs="Arial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MATERIA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77136C" w:rsidRPr="00C47750" w:rsidTr="00A5082D">
        <w:tc>
          <w:tcPr>
            <w:tcW w:w="8978" w:type="dxa"/>
          </w:tcPr>
          <w:p w:rsidR="0077136C" w:rsidRPr="00C47750" w:rsidRDefault="00111FD1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PLANIFICACIÓN ESTRATEGIA DE CAMPAÑAS PUBLICITARIAS </w:t>
            </w:r>
            <w:r w:rsidR="00614E85">
              <w:rPr>
                <w:rFonts w:ascii="Arial" w:hAnsi="Arial" w:cs="Arial"/>
                <w:sz w:val="24"/>
                <w:szCs w:val="24"/>
              </w:rPr>
              <w:t xml:space="preserve"> (AÑO 2019</w:t>
            </w:r>
            <w:r w:rsidR="006703D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77136C" w:rsidRPr="00C47750" w:rsidRDefault="0077136C" w:rsidP="0077136C">
      <w:pPr>
        <w:tabs>
          <w:tab w:val="left" w:pos="21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47750">
        <w:rPr>
          <w:rFonts w:ascii="Arial" w:hAnsi="Arial" w:cs="Arial"/>
          <w:sz w:val="24"/>
          <w:szCs w:val="24"/>
        </w:rPr>
        <w:tab/>
      </w:r>
    </w:p>
    <w:p w:rsidR="0077136C" w:rsidRPr="00C47750" w:rsidRDefault="0077136C" w:rsidP="0077136C">
      <w:pPr>
        <w:tabs>
          <w:tab w:val="left" w:pos="21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FACULTAD</w:t>
      </w:r>
    </w:p>
    <w:p w:rsidR="0077136C" w:rsidRPr="00C47750" w:rsidRDefault="0077136C" w:rsidP="0077136C">
      <w:pPr>
        <w:tabs>
          <w:tab w:val="left" w:pos="21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36C" w:rsidRPr="00C47750" w:rsidRDefault="00A4448F" w:rsidP="00771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1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FACULTAD DE HUMANIDADES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CARRERA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77136C" w:rsidRPr="00C47750" w:rsidTr="00A5082D">
        <w:tc>
          <w:tcPr>
            <w:tcW w:w="8978" w:type="dxa"/>
          </w:tcPr>
          <w:p w:rsidR="0077136C" w:rsidRPr="00C47750" w:rsidRDefault="00A4448F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COMUNICACIÓN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SEDE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77136C" w:rsidRPr="00C47750" w:rsidTr="00A5082D">
        <w:tc>
          <w:tcPr>
            <w:tcW w:w="8978" w:type="dxa"/>
          </w:tcPr>
          <w:p w:rsidR="0077136C" w:rsidRPr="00C47750" w:rsidRDefault="00A4448F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MENDOZA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UBICACIÓN EN EL PLAN DE ESTUDIOS</w:t>
      </w:r>
    </w:p>
    <w:p w:rsidR="0077136C" w:rsidRPr="00C47750" w:rsidRDefault="0077136C" w:rsidP="00771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C47750">
        <w:rPr>
          <w:rFonts w:ascii="Arial" w:hAnsi="Arial" w:cs="Arial"/>
          <w:sz w:val="24"/>
          <w:szCs w:val="24"/>
        </w:rPr>
        <w:t>PRIMER SEMESTRE – AÑO</w:t>
      </w:r>
      <w:r w:rsidR="00614E85">
        <w:rPr>
          <w:rFonts w:ascii="Arial" w:hAnsi="Arial" w:cs="Arial"/>
          <w:sz w:val="24"/>
          <w:szCs w:val="24"/>
        </w:rPr>
        <w:t xml:space="preserve"> 2019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ÁREA DE FORMACIÓN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36C" w:rsidRPr="00C47750" w:rsidRDefault="0077136C" w:rsidP="00771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TURNO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77136C" w:rsidRPr="00C47750" w:rsidTr="00A5082D">
        <w:tc>
          <w:tcPr>
            <w:tcW w:w="8978" w:type="dxa"/>
          </w:tcPr>
          <w:p w:rsidR="0077136C" w:rsidRPr="00C47750" w:rsidRDefault="00A4448F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NOCHE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 xml:space="preserve">CARGA HORARIA 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92"/>
        <w:gridCol w:w="2993"/>
        <w:gridCol w:w="2993"/>
      </w:tblGrid>
      <w:tr w:rsidR="0077136C" w:rsidRPr="00C47750" w:rsidTr="00A5082D">
        <w:tc>
          <w:tcPr>
            <w:tcW w:w="2992" w:type="dxa"/>
          </w:tcPr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HORAS  TOTALES </w:t>
            </w:r>
          </w:p>
        </w:tc>
        <w:tc>
          <w:tcPr>
            <w:tcW w:w="2993" w:type="dxa"/>
          </w:tcPr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HORAS TEORICAS</w:t>
            </w:r>
          </w:p>
        </w:tc>
        <w:tc>
          <w:tcPr>
            <w:tcW w:w="2993" w:type="dxa"/>
          </w:tcPr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HORAS PRACTICAS</w:t>
            </w:r>
          </w:p>
        </w:tc>
      </w:tr>
      <w:tr w:rsidR="0077136C" w:rsidRPr="00C47750" w:rsidTr="00A5082D">
        <w:tc>
          <w:tcPr>
            <w:tcW w:w="2992" w:type="dxa"/>
          </w:tcPr>
          <w:p w:rsidR="0077136C" w:rsidRPr="00C47750" w:rsidRDefault="0077136C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993" w:type="dxa"/>
          </w:tcPr>
          <w:p w:rsidR="0077136C" w:rsidRPr="00C47750" w:rsidRDefault="0077136C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993" w:type="dxa"/>
          </w:tcPr>
          <w:p w:rsidR="0077136C" w:rsidRPr="00C47750" w:rsidRDefault="0077136C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EQUIPO DOCENTE</w:t>
      </w:r>
    </w:p>
    <w:p w:rsidR="0006777C" w:rsidRPr="00C47750" w:rsidRDefault="0006777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5"/>
      </w:tblGrid>
      <w:tr w:rsidR="0077136C" w:rsidRPr="00C47750" w:rsidTr="00214AAF">
        <w:tc>
          <w:tcPr>
            <w:tcW w:w="8975" w:type="dxa"/>
          </w:tcPr>
          <w:p w:rsidR="00214AAF" w:rsidRPr="00C47750" w:rsidRDefault="00614E85" w:rsidP="000677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PROFESORA SUPLENTE</w:t>
            </w:r>
            <w:r w:rsidR="0077136C" w:rsidRPr="00C47750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260C90">
              <w:rPr>
                <w:rFonts w:ascii="Arial" w:hAnsi="Arial" w:cs="Arial"/>
                <w:sz w:val="24"/>
                <w:szCs w:val="24"/>
              </w:rPr>
              <w:t xml:space="preserve">LIC. </w:t>
            </w:r>
            <w:r>
              <w:rPr>
                <w:rFonts w:ascii="Arial" w:hAnsi="Arial" w:cs="Arial"/>
                <w:sz w:val="24"/>
                <w:szCs w:val="24"/>
              </w:rPr>
              <w:t>SILECI FERNANDA</w:t>
            </w:r>
          </w:p>
          <w:p w:rsidR="0077136C" w:rsidRPr="00C47750" w:rsidRDefault="0077136C" w:rsidP="000677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0D2504" w:rsidRPr="00C47750" w:rsidRDefault="000D2504" w:rsidP="000677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ASIGNATURAS CORRELATIVAS PREVIAS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77136C" w:rsidRPr="00C47750" w:rsidTr="00A5082D">
        <w:tc>
          <w:tcPr>
            <w:tcW w:w="8978" w:type="dxa"/>
          </w:tcPr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ASIGNATURAS CORRELATIVAS POSTERIORES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77136C" w:rsidRPr="00C47750" w:rsidTr="00A5082D">
        <w:tc>
          <w:tcPr>
            <w:tcW w:w="8978" w:type="dxa"/>
          </w:tcPr>
          <w:p w:rsidR="00260C90" w:rsidRDefault="00260C90" w:rsidP="00F5461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60C90" w:rsidRPr="00C47750" w:rsidRDefault="00260C90" w:rsidP="00F5461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COLOCAR TODAS, VERIFICAR PLANES DE ESTUDIO.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FUNDAMENTOS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77136C" w:rsidRPr="00C47750" w:rsidTr="00A5082D">
        <w:tc>
          <w:tcPr>
            <w:tcW w:w="8978" w:type="dxa"/>
          </w:tcPr>
          <w:p w:rsidR="001E676B" w:rsidRPr="004E3A4D" w:rsidRDefault="00547B5C" w:rsidP="001E67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Necesidad de </w:t>
            </w:r>
            <w:r w:rsidR="001E676B" w:rsidRPr="004E3A4D">
              <w:rPr>
                <w:rFonts w:ascii="Times New Roman" w:hAnsi="Times New Roman"/>
                <w:sz w:val="28"/>
                <w:szCs w:val="28"/>
              </w:rPr>
              <w:t xml:space="preserve"> integrar</w:t>
            </w:r>
            <w:r w:rsidR="001E676B">
              <w:rPr>
                <w:rFonts w:ascii="Times New Roman" w:hAnsi="Times New Roman"/>
                <w:sz w:val="28"/>
                <w:szCs w:val="28"/>
              </w:rPr>
              <w:t>,</w:t>
            </w:r>
            <w:r w:rsidR="001E676B" w:rsidRPr="004E3A4D">
              <w:rPr>
                <w:rFonts w:ascii="Times New Roman" w:hAnsi="Times New Roman"/>
                <w:sz w:val="28"/>
                <w:szCs w:val="28"/>
              </w:rPr>
              <w:t xml:space="preserve"> en el futuro profesional</w:t>
            </w:r>
            <w:r w:rsidR="001E676B">
              <w:rPr>
                <w:rFonts w:ascii="Times New Roman" w:hAnsi="Times New Roman"/>
                <w:sz w:val="28"/>
                <w:szCs w:val="28"/>
              </w:rPr>
              <w:t>,</w:t>
            </w:r>
            <w:r w:rsidR="001E676B" w:rsidRPr="004E3A4D">
              <w:rPr>
                <w:rFonts w:ascii="Times New Roman" w:hAnsi="Times New Roman"/>
                <w:sz w:val="28"/>
                <w:szCs w:val="28"/>
              </w:rPr>
              <w:t xml:space="preserve"> los conocimientos necesarios para planificar una campaña</w:t>
            </w:r>
            <w:r w:rsidR="001E676B">
              <w:rPr>
                <w:rFonts w:ascii="Times New Roman" w:hAnsi="Times New Roman"/>
                <w:sz w:val="28"/>
                <w:szCs w:val="28"/>
              </w:rPr>
              <w:t xml:space="preserve"> publicitaria</w:t>
            </w:r>
            <w:r w:rsidR="001E676B" w:rsidRPr="004E3A4D">
              <w:rPr>
                <w:rFonts w:ascii="Times New Roman" w:hAnsi="Times New Roman"/>
                <w:sz w:val="28"/>
                <w:szCs w:val="28"/>
              </w:rPr>
              <w:t xml:space="preserve"> bajo la estrategia de “comunicaciones integradas de mercadotecnia” (CIM).</w:t>
            </w:r>
          </w:p>
          <w:p w:rsidR="007B0C81" w:rsidRDefault="00547B5C" w:rsidP="001E67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Desarrollo de</w:t>
            </w:r>
            <w:r w:rsidR="001E676B" w:rsidRPr="004E3A4D">
              <w:rPr>
                <w:rFonts w:ascii="Times New Roman" w:hAnsi="Times New Roman"/>
                <w:sz w:val="28"/>
                <w:szCs w:val="28"/>
              </w:rPr>
              <w:t xml:space="preserve"> capacidad</w:t>
            </w:r>
            <w:r>
              <w:rPr>
                <w:rFonts w:ascii="Times New Roman" w:hAnsi="Times New Roman"/>
                <w:sz w:val="28"/>
                <w:szCs w:val="28"/>
              </w:rPr>
              <w:t>es</w:t>
            </w:r>
            <w:r w:rsidR="001E676B" w:rsidRPr="004E3A4D">
              <w:rPr>
                <w:rFonts w:ascii="Times New Roman" w:hAnsi="Times New Roman"/>
                <w:sz w:val="28"/>
                <w:szCs w:val="28"/>
              </w:rPr>
              <w:t xml:space="preserve"> para expresar un producto o servicio en términos de valores del consumidor y resolver estrategias comunicacionales que, a partir de los valores del consumidor, integren los conceptos de segmentación, objetivización y posicionamiento de un </w:t>
            </w:r>
            <w:r w:rsidR="001E676B">
              <w:rPr>
                <w:rFonts w:ascii="Times New Roman" w:hAnsi="Times New Roman"/>
                <w:sz w:val="28"/>
                <w:szCs w:val="28"/>
              </w:rPr>
              <w:t xml:space="preserve">producto o servicio </w:t>
            </w:r>
            <w:r w:rsidR="001E676B" w:rsidRPr="004E3A4D">
              <w:rPr>
                <w:rFonts w:ascii="Times New Roman" w:hAnsi="Times New Roman"/>
                <w:sz w:val="28"/>
                <w:szCs w:val="28"/>
              </w:rPr>
              <w:t>marca</w:t>
            </w:r>
            <w:r w:rsidR="001E67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0C90" w:rsidRPr="007B0C81" w:rsidRDefault="007B0C81" w:rsidP="007B0C8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Integración de </w:t>
            </w:r>
            <w:r w:rsidR="001E676B" w:rsidRPr="004E3A4D">
              <w:rPr>
                <w:rFonts w:ascii="Times New Roman" w:hAnsi="Times New Roman"/>
                <w:sz w:val="28"/>
                <w:szCs w:val="28"/>
              </w:rPr>
              <w:t>los conocimientos adquiridos en las distintas materias de la carrera e incorporarlos en un plan estratégico, resuelto a partir del</w:t>
            </w:r>
            <w:r w:rsidR="001E676B">
              <w:rPr>
                <w:rFonts w:ascii="Times New Roman" w:hAnsi="Times New Roman"/>
                <w:sz w:val="28"/>
                <w:szCs w:val="28"/>
              </w:rPr>
              <w:t>a investigación y</w:t>
            </w:r>
            <w:r w:rsidR="001E676B" w:rsidRPr="004E3A4D">
              <w:rPr>
                <w:rFonts w:ascii="Times New Roman" w:hAnsi="Times New Roman"/>
                <w:sz w:val="28"/>
                <w:szCs w:val="28"/>
              </w:rPr>
              <w:t xml:space="preserve"> análisis de la totalidad de factores de la mezcla de mercadotecnia.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318F" w:rsidRDefault="003A318F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OBJETIVOS POR COMPETENCIAS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77136C" w:rsidRPr="00C47750" w:rsidTr="00A5082D">
        <w:tc>
          <w:tcPr>
            <w:tcW w:w="8978" w:type="dxa"/>
          </w:tcPr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Competencias Generales</w:t>
            </w:r>
          </w:p>
          <w:p w:rsidR="0077136C" w:rsidRPr="00C47750" w:rsidRDefault="001F088B" w:rsidP="00A5082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Pensador estratégico de las comunicaciones integradas de la marca </w:t>
            </w:r>
            <w:r w:rsidR="00260C9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Competencias Conceptuales Específicas</w:t>
            </w:r>
          </w:p>
          <w:p w:rsidR="00260C90" w:rsidRPr="00C47750" w:rsidRDefault="001F088B" w:rsidP="00260C9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Integrador de las capacidades comunicativas de los distintos puntos de contacto marca - cliente</w:t>
            </w:r>
          </w:p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</w:rPr>
            </w:pPr>
          </w:p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Competencias Procedimentales Específicas</w:t>
            </w:r>
          </w:p>
          <w:p w:rsidR="00260C90" w:rsidRPr="00C47750" w:rsidRDefault="00547B5C" w:rsidP="00260C9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Armonizador de las acciones de los departamentos de investigación de mercados, medios y marketing.</w:t>
            </w:r>
          </w:p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Competencias Actitudinales Específicas</w:t>
            </w:r>
          </w:p>
          <w:p w:rsidR="00260C90" w:rsidRPr="00C47750" w:rsidRDefault="00547B5C" w:rsidP="00260C9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Buceador de pensamientos estratégicos sobre el desarrollo de marcas</w:t>
            </w:r>
            <w:r w:rsidR="00260C9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420D4" w:rsidRPr="00C47750" w:rsidRDefault="005C743F">
      <w:pPr>
        <w:rPr>
          <w:rFonts w:ascii="Arial" w:hAnsi="Arial" w:cs="Arial"/>
        </w:rPr>
      </w:pPr>
    </w:p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A2FF0" w:rsidRPr="00C47750" w:rsidRDefault="000A2FF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CONTENIDOS</w:t>
      </w:r>
    </w:p>
    <w:p w:rsidR="000A2FF0" w:rsidRPr="00C47750" w:rsidRDefault="000A2FF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015E90" w:rsidRPr="00C47750" w:rsidTr="00A5082D">
        <w:tc>
          <w:tcPr>
            <w:tcW w:w="8978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8B6131" w:rsidRDefault="00015E90" w:rsidP="008B61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77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MÓDULO I: </w:t>
            </w:r>
            <w:r w:rsidR="00260C90">
              <w:rPr>
                <w:rFonts w:ascii="Arial" w:hAnsi="Arial" w:cs="Arial"/>
                <w:b/>
                <w:bCs/>
                <w:sz w:val="24"/>
                <w:szCs w:val="24"/>
              </w:rPr>
              <w:t>Nombre del Módulo</w:t>
            </w:r>
          </w:p>
          <w:p w:rsidR="001E61A3" w:rsidRDefault="00015E90" w:rsidP="008B61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br/>
            </w:r>
            <w:r w:rsidR="001E61A3"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  <w:t>Origen y rol de la planificación estratégica de la comunicación publicitaria.</w:t>
            </w:r>
          </w:p>
          <w:p w:rsidR="001E61A3" w:rsidRDefault="001E61A3" w:rsidP="008B61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  <w:t>El Planificador de Campañas (Account Planning). Funciones del planificador.</w:t>
            </w:r>
          </w:p>
          <w:p w:rsidR="001E61A3" w:rsidRDefault="001E61A3" w:rsidP="008B61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  <w:t>Concepto de Comunicaciones Integradas de Mercadotecnia.</w:t>
            </w:r>
          </w:p>
          <w:p w:rsidR="001E61A3" w:rsidRDefault="001E61A3" w:rsidP="008B61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  <w:t>Storytelling de la marca.</w:t>
            </w:r>
          </w:p>
          <w:p w:rsidR="00015E90" w:rsidRDefault="001E61A3" w:rsidP="008B61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  <w:t>Momentos de la planificación: Análisis de situación. Estrategias de intervención en el mercado. Planes operativos. Objetivos publicitarios</w:t>
            </w:r>
          </w:p>
          <w:p w:rsidR="001E61A3" w:rsidRPr="00C47750" w:rsidRDefault="001E61A3" w:rsidP="001E61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u w:val="single"/>
              </w:rPr>
              <w:t>BIBLIOGRAFÍA:</w:t>
            </w:r>
            <w:r w:rsidR="00197DD0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(se debe utilizar las normas APA)</w:t>
            </w:r>
          </w:p>
          <w:p w:rsidR="00A70445" w:rsidRDefault="00A70445" w:rsidP="00A70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s-ES"/>
              </w:rPr>
              <w:t xml:space="preserve">APG España </w:t>
            </w:r>
            <w:r w:rsidRPr="00B459D4">
              <w:rPr>
                <w:rFonts w:ascii="Times New Roman" w:hAnsi="Times New Roman"/>
                <w:bCs/>
                <w:color w:val="000000"/>
                <w:sz w:val="28"/>
                <w:szCs w:val="28"/>
                <w:lang w:val="es-ES"/>
              </w:rPr>
              <w:t>¿Qué es la planificación estratégica (Account Planning)? (y qué es lo que hace exactamen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s-ES"/>
              </w:rPr>
              <w:t>te un planificador estratégico)</w:t>
            </w:r>
          </w:p>
          <w:p w:rsidR="00551D8F" w:rsidRDefault="00551D8F" w:rsidP="00551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</w:pPr>
            <w:r w:rsidRPr="00521DB4"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>O´guin, Allen, Semenik Publicidad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>. México Thomson Editores</w:t>
            </w:r>
            <w:r w:rsidRPr="00521DB4"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 xml:space="preserve"> pág. 106-108. </w:t>
            </w:r>
          </w:p>
          <w:p w:rsidR="00551D8F" w:rsidRDefault="00551D8F" w:rsidP="00A70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s-ES"/>
              </w:rPr>
            </w:pPr>
            <w:r w:rsidRPr="00521DB4">
              <w:rPr>
                <w:rFonts w:ascii="Times New Roman" w:hAnsi="Times New Roman"/>
                <w:bCs/>
                <w:color w:val="000000"/>
                <w:sz w:val="28"/>
                <w:szCs w:val="28"/>
                <w:lang w:val="es-ES"/>
              </w:rPr>
              <w:t>Comunicaciones Integradas de Mercadotecnia</w:t>
            </w:r>
          </w:p>
          <w:p w:rsidR="00A70445" w:rsidRPr="00521DB4" w:rsidRDefault="00A70445" w:rsidP="00A70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</w:pPr>
            <w:r w:rsidRPr="00521DB4"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>Momentos de una planificación de campañas publicitarias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>.</w:t>
            </w:r>
            <w:r w:rsidRPr="00521DB4"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 xml:space="preserve"> Ficha de Cátedra</w:t>
            </w:r>
          </w:p>
          <w:p w:rsidR="00A70445" w:rsidRDefault="00A70445" w:rsidP="00A70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</w:pPr>
            <w:r w:rsidRPr="00A946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Gema Sánchez</w:t>
            </w:r>
            <w:r w:rsidRPr="00521DB4"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>Storytellin y planificación publicitaria. Ficha de Cátedra</w:t>
            </w:r>
          </w:p>
          <w:p w:rsidR="00551D8F" w:rsidRPr="00551D8F" w:rsidRDefault="00551D8F" w:rsidP="00A70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  <w:r w:rsidRPr="00551D8F">
              <w:rPr>
                <w:rFonts w:ascii="Times New Roman" w:hAnsi="Times New Roman"/>
                <w:sz w:val="28"/>
                <w:szCs w:val="28"/>
              </w:rPr>
              <w:t>Rodríguez, S., (2013, 25 de Julio). Storytelling: Historias que permanecen. Prnoticias.</w:t>
            </w:r>
          </w:p>
          <w:p w:rsidR="00A70445" w:rsidRDefault="00A70445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70445" w:rsidRDefault="00015E90" w:rsidP="00C564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</w:pPr>
            <w:r w:rsidRPr="00C477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MÓDULO II: </w:t>
            </w:r>
            <w:r w:rsidR="00C56437">
              <w:rPr>
                <w:rFonts w:ascii="Arial" w:hAnsi="Arial" w:cs="Arial"/>
                <w:b/>
                <w:bCs/>
                <w:sz w:val="24"/>
                <w:szCs w:val="24"/>
              </w:rPr>
              <w:t>Análisis de situación</w:t>
            </w:r>
            <w:r w:rsidR="00260C90" w:rsidRPr="00C47750">
              <w:rPr>
                <w:rFonts w:ascii="Arial" w:hAnsi="Arial" w:cs="Arial"/>
                <w:sz w:val="24"/>
                <w:szCs w:val="24"/>
              </w:rPr>
              <w:br/>
            </w:r>
            <w:r w:rsidR="00A70445"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  <w:t xml:space="preserve">Gestión de la marca: Incremento cuantitativo y cualitativo de la oferta. Saturación de los mercados.  Apertura de las empresas a la comunicación. Polución mediática.  Diversificación de los comportamientos sociales. Diversificación de los comportamientos de los consumidores.  Dilución del consumo en la vida. </w:t>
            </w:r>
          </w:p>
          <w:p w:rsidR="00A70445" w:rsidRDefault="00A70445" w:rsidP="00A704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  <w:t>Motivaciones y fuentes</w:t>
            </w:r>
          </w:p>
          <w:p w:rsidR="00A70445" w:rsidRDefault="00A70445" w:rsidP="00A704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  <w:t>Modelos de decisión del consumidor.</w:t>
            </w:r>
          </w:p>
          <w:p w:rsidR="00260C90" w:rsidRPr="00C47750" w:rsidRDefault="00260C90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u w:val="single"/>
              </w:rPr>
              <w:t>BIBLIOGRAFÍA:</w:t>
            </w:r>
          </w:p>
          <w:p w:rsidR="00A70445" w:rsidRPr="00521DB4" w:rsidRDefault="00A70445" w:rsidP="00A70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</w:pPr>
            <w:r w:rsidRPr="00521DB4"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>Andrea Semprini El marketing de la marca Paidos Empresa 38</w:t>
            </w:r>
          </w:p>
          <w:p w:rsidR="00A70445" w:rsidRDefault="00A70445" w:rsidP="00A70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</w:pPr>
            <w:r w:rsidRPr="00521DB4"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>pag. 19 a 38</w:t>
            </w:r>
          </w:p>
          <w:p w:rsidR="0002208A" w:rsidRPr="00551D8F" w:rsidRDefault="007D2B1E" w:rsidP="00A70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s-ES"/>
              </w:rPr>
            </w:pPr>
            <w:r w:rsidRPr="00551D8F">
              <w:rPr>
                <w:rFonts w:ascii="Times New Roman" w:hAnsi="Times New Roman"/>
                <w:sz w:val="28"/>
                <w:szCs w:val="28"/>
              </w:rPr>
              <w:lastRenderedPageBreak/>
              <w:t>Bassat, L., (2006), El libro rojo de las marcas. Madrid, España: Ediciones Espasa Calpe, S.A</w:t>
            </w:r>
            <w:r w:rsidR="0002208A" w:rsidRPr="00551D8F">
              <w:rPr>
                <w:rFonts w:ascii="Times New Roman" w:hAnsi="Times New Roman"/>
                <w:bCs/>
                <w:color w:val="000000"/>
                <w:sz w:val="28"/>
                <w:szCs w:val="28"/>
                <w:lang w:val="es-ES"/>
              </w:rPr>
              <w:t>Pag. 50-66</w:t>
            </w:r>
          </w:p>
          <w:p w:rsidR="00A70445" w:rsidRPr="00521DB4" w:rsidRDefault="00A70445" w:rsidP="00A70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</w:pPr>
            <w:r w:rsidRPr="00521DB4"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>Motivación y fuentes. Fi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>ch</w:t>
            </w:r>
            <w:r w:rsidRPr="00521DB4"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>a de Cátedra</w:t>
            </w:r>
          </w:p>
          <w:p w:rsidR="00015E90" w:rsidRPr="00551D8F" w:rsidRDefault="00A70445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1DB4"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>Publicidad O´guin, Allen, Semenik, pag. 126-132. Cuatro modelos de decisión</w:t>
            </w:r>
          </w:p>
          <w:p w:rsidR="00A70445" w:rsidRDefault="00015E90" w:rsidP="00C564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</w:pPr>
            <w:r w:rsidRPr="00C477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MÓDULO III: </w:t>
            </w:r>
            <w:r w:rsidR="00C56437">
              <w:rPr>
                <w:rFonts w:ascii="Arial" w:hAnsi="Arial" w:cs="Arial"/>
                <w:b/>
                <w:bCs/>
                <w:sz w:val="24"/>
                <w:szCs w:val="24"/>
              </w:rPr>
              <w:t>Estrategia de intervención en el mercado</w:t>
            </w:r>
            <w:r w:rsidR="00260C90" w:rsidRPr="00C47750">
              <w:rPr>
                <w:rFonts w:ascii="Arial" w:hAnsi="Arial" w:cs="Arial"/>
                <w:sz w:val="24"/>
                <w:szCs w:val="24"/>
              </w:rPr>
              <w:br/>
            </w:r>
            <w:r w:rsidR="00A70445"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  <w:t>Gestión de la marca:  Desmaterialización de los productos. Pérdida de sentido de los productos. Atribución de un nuevo peso simbólico a los productos.</w:t>
            </w:r>
          </w:p>
          <w:p w:rsidR="00A70445" w:rsidRDefault="00A70445" w:rsidP="00A704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  <w:t>Definición/re definición de la tipología del producto: Momentos comunicacionales del producto.</w:t>
            </w:r>
          </w:p>
          <w:p w:rsidR="00A70445" w:rsidRDefault="00A70445" w:rsidP="00A704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  <w:t>Definición/re definición de la función técnica del producto: La innovación.</w:t>
            </w:r>
          </w:p>
          <w:p w:rsidR="00A70445" w:rsidRDefault="00A70445" w:rsidP="00A704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  <w:t>Definición/re definición de la función psicológica del producto: Momentos comunicacionales del producto.</w:t>
            </w:r>
          </w:p>
          <w:p w:rsidR="00A70445" w:rsidRDefault="00A70445" w:rsidP="00A704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  <w:t>Posicionamiento: Por beneficios. Por usuario o segmento. Competitivo.</w:t>
            </w:r>
          </w:p>
          <w:p w:rsidR="00A70445" w:rsidRDefault="00A70445" w:rsidP="00A704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  <w:t>Definición/re definición de un significado para la marca: Identificación de la identidad de la marca.</w:t>
            </w:r>
          </w:p>
          <w:p w:rsidR="00260C90" w:rsidRPr="00C47750" w:rsidRDefault="00260C90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u w:val="single"/>
              </w:rPr>
              <w:t>BIBLIOGRAFÍA:</w:t>
            </w:r>
          </w:p>
          <w:p w:rsidR="00A70445" w:rsidRPr="00521DB4" w:rsidRDefault="00A70445" w:rsidP="00A70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</w:pPr>
            <w:r w:rsidRPr="00521DB4"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>Andrea Semprini El marketing de la marca Paidos Empresa 38pag. 19 a 38.</w:t>
            </w:r>
          </w:p>
          <w:p w:rsidR="00A70445" w:rsidRPr="00521DB4" w:rsidRDefault="00A70445" w:rsidP="00A70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</w:pPr>
            <w:r w:rsidRPr="00521DB4"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 xml:space="preserve">Publicidad O´guin, Allen, Semenik, pag.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>126</w:t>
            </w:r>
            <w:r w:rsidRPr="00521DB4"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 xml:space="preserve">131 </w:t>
            </w:r>
            <w:r w:rsidRPr="00521DB4"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>Momentos comunicacionales del Producto</w:t>
            </w:r>
          </w:p>
          <w:p w:rsidR="00A70445" w:rsidRDefault="00A70445" w:rsidP="00A70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</w:pPr>
            <w:r w:rsidRPr="00521DB4"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>La innovación. Ficha de Cátedra.</w:t>
            </w:r>
          </w:p>
          <w:p w:rsidR="0080671D" w:rsidRPr="00551D8F" w:rsidRDefault="0080671D" w:rsidP="00A70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</w:pPr>
            <w:r w:rsidRPr="00551D8F">
              <w:rPr>
                <w:rFonts w:ascii="Times New Roman" w:hAnsi="Times New Roman"/>
                <w:sz w:val="28"/>
                <w:szCs w:val="28"/>
              </w:rPr>
              <w:t>Martí, J., García-Ochoa, Y., Y Aldás, J., (2012), La publicidad actual: Retos y oportunidades. Pensar la publicidad, 6 (2), 327-343.</w:t>
            </w:r>
          </w:p>
          <w:p w:rsidR="00A70445" w:rsidRPr="00521DB4" w:rsidRDefault="00A70445" w:rsidP="00A70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</w:pPr>
            <w:r w:rsidRPr="00521DB4"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>Andrea Semprini El marketing de la marca Paidos Empresa 38pag. 79 a 88</w:t>
            </w:r>
          </w:p>
          <w:p w:rsidR="00015E90" w:rsidRPr="00C47750" w:rsidRDefault="00015E90" w:rsidP="00A5082D">
            <w:pPr>
              <w:tabs>
                <w:tab w:val="left" w:pos="207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ab/>
            </w:r>
          </w:p>
          <w:p w:rsidR="00A70445" w:rsidRDefault="00A70445" w:rsidP="00A704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</w:pPr>
            <w:r w:rsidRPr="00C47750">
              <w:rPr>
                <w:rFonts w:ascii="Arial" w:hAnsi="Arial" w:cs="Arial"/>
                <w:b/>
                <w:bCs/>
                <w:sz w:val="24"/>
                <w:szCs w:val="24"/>
              </w:rPr>
              <w:t>MÓDULO 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V: </w:t>
            </w:r>
            <w:r w:rsidRPr="00A70445">
              <w:rPr>
                <w:rFonts w:ascii="Times New Roman" w:eastAsia="Times New Roman" w:hAnsi="Times New Roman"/>
                <w:b/>
                <w:sz w:val="28"/>
                <w:szCs w:val="28"/>
                <w:lang w:eastAsia="es-AR"/>
              </w:rPr>
              <w:t>Planes operativos</w:t>
            </w:r>
            <w:r w:rsidRPr="00C47750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  <w:t>Alternativas para operar en el producto.</w:t>
            </w:r>
          </w:p>
          <w:p w:rsidR="00A70445" w:rsidRDefault="00A70445" w:rsidP="00A704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  <w:t>Alternativas para operar en precios.</w:t>
            </w:r>
          </w:p>
          <w:p w:rsidR="00A70445" w:rsidRDefault="00A70445" w:rsidP="00A704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  <w:t>Alternativas para operar en canales.</w:t>
            </w:r>
          </w:p>
          <w:p w:rsidR="00A70445" w:rsidRDefault="00A70445" w:rsidP="00A704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  <w:t>Alternativas para operar en publicidad.</w:t>
            </w:r>
          </w:p>
          <w:p w:rsidR="00A70445" w:rsidRDefault="00A70445" w:rsidP="00A704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  <w:t>El Brief publicitario.</w:t>
            </w:r>
          </w:p>
          <w:p w:rsidR="00A70445" w:rsidRPr="00C47750" w:rsidRDefault="00A70445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70445" w:rsidRPr="00C47750" w:rsidRDefault="00A70445" w:rsidP="00A7044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u w:val="single"/>
              </w:rPr>
              <w:t>BIBLIOGRAFÍA:</w:t>
            </w:r>
          </w:p>
          <w:p w:rsidR="00A70445" w:rsidRPr="00521DB4" w:rsidRDefault="00A70445" w:rsidP="00A70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DB4">
              <w:rPr>
                <w:rFonts w:ascii="Times New Roman" w:hAnsi="Times New Roman"/>
                <w:sz w:val="28"/>
                <w:szCs w:val="28"/>
              </w:rPr>
              <w:t xml:space="preserve">Lic. Raúl Bustamante Revista Publicidad y Empresas/FAMA 87 Estrategia de posicionamiento marca/producto – </w:t>
            </w:r>
          </w:p>
          <w:p w:rsidR="00A70445" w:rsidRDefault="00A70445" w:rsidP="00A70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</w:pPr>
            <w:r w:rsidRPr="00521DB4"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>Publicidad O´guin, Allen, Semenik, pag. 302-310</w:t>
            </w:r>
          </w:p>
          <w:p w:rsidR="00A70445" w:rsidRPr="00430830" w:rsidRDefault="00A70445" w:rsidP="00A70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>Ficha de cátedra</w:t>
            </w:r>
            <w:r w:rsidRPr="00430830">
              <w:rPr>
                <w:rFonts w:ascii="Times New Roman" w:hAnsi="Times New Roman"/>
                <w:lang w:val="es-ES"/>
              </w:rPr>
              <w:t xml:space="preserve">: </w:t>
            </w:r>
            <w:r w:rsidRPr="00430830">
              <w:rPr>
                <w:rFonts w:ascii="Times New Roman" w:hAnsi="Times New Roman"/>
                <w:sz w:val="28"/>
                <w:szCs w:val="28"/>
                <w:lang w:val="es-ES"/>
              </w:rPr>
              <w:t>E</w:t>
            </w:r>
            <w:r w:rsidRPr="00430830">
              <w:rPr>
                <w:rFonts w:ascii="Times New Roman" w:eastAsia="Times New Roman" w:hAnsi="Times New Roman"/>
                <w:bCs/>
                <w:sz w:val="28"/>
                <w:szCs w:val="28"/>
                <w:lang w:eastAsia="es-ES"/>
              </w:rPr>
              <w:t>l brief: qué es y para qué sirve</w:t>
            </w:r>
          </w:p>
          <w:p w:rsidR="00015E90" w:rsidRDefault="00015E90" w:rsidP="00A5082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A70445" w:rsidRDefault="00A70445" w:rsidP="00A7044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77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MÓDULO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V: </w:t>
            </w:r>
            <w:r w:rsidR="00910272" w:rsidRPr="00910272">
              <w:rPr>
                <w:rFonts w:ascii="Times New Roman" w:eastAsia="Times New Roman" w:hAnsi="Times New Roman"/>
                <w:b/>
                <w:sz w:val="28"/>
                <w:szCs w:val="28"/>
                <w:lang w:eastAsia="es-AR"/>
              </w:rPr>
              <w:t>Objetivos publicitarios</w:t>
            </w:r>
          </w:p>
          <w:p w:rsidR="00910272" w:rsidRPr="00D22DB2" w:rsidRDefault="00910272" w:rsidP="009102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s-AR"/>
              </w:rPr>
              <w:t>P</w:t>
            </w:r>
            <w:r w:rsidRPr="00D22DB2">
              <w:rPr>
                <w:rFonts w:ascii="Times New Roman" w:hAnsi="Times New Roman"/>
                <w:sz w:val="28"/>
                <w:szCs w:val="28"/>
              </w:rPr>
              <w:t>romover la recordación de la marca</w:t>
            </w:r>
            <w:r>
              <w:rPr>
                <w:rFonts w:ascii="Times New Roman" w:hAnsi="Times New Roman"/>
                <w:sz w:val="28"/>
                <w:szCs w:val="28"/>
              </w:rPr>
              <w:t>. I</w:t>
            </w:r>
            <w:r w:rsidRPr="00D22DB2">
              <w:rPr>
                <w:rFonts w:ascii="Times New Roman" w:hAnsi="Times New Roman"/>
                <w:sz w:val="28"/>
                <w:szCs w:val="28"/>
              </w:rPr>
              <w:t xml:space="preserve">ncrementar el conocimiento y </w:t>
            </w:r>
            <w:r w:rsidRPr="00D22DB2">
              <w:rPr>
                <w:rFonts w:ascii="Times New Roman" w:hAnsi="Times New Roman"/>
                <w:sz w:val="28"/>
                <w:szCs w:val="28"/>
              </w:rPr>
              <w:lastRenderedPageBreak/>
              <w:t>comprensión sobre la marca</w:t>
            </w:r>
            <w:r>
              <w:rPr>
                <w:rFonts w:ascii="Times New Roman" w:hAnsi="Times New Roman"/>
                <w:sz w:val="28"/>
                <w:szCs w:val="28"/>
              </w:rPr>
              <w:t>. C</w:t>
            </w:r>
            <w:r w:rsidRPr="00D22DB2">
              <w:rPr>
                <w:rFonts w:ascii="Times New Roman" w:hAnsi="Times New Roman"/>
                <w:sz w:val="28"/>
                <w:szCs w:val="28"/>
              </w:rPr>
              <w:t>ambiar las creencias</w:t>
            </w:r>
            <w:r>
              <w:rPr>
                <w:rFonts w:ascii="Times New Roman" w:hAnsi="Times New Roman"/>
                <w:sz w:val="28"/>
                <w:szCs w:val="28"/>
              </w:rPr>
              <w:t>. I</w:t>
            </w:r>
            <w:r w:rsidRPr="00D22DB2">
              <w:rPr>
                <w:rFonts w:ascii="Times New Roman" w:hAnsi="Times New Roman"/>
                <w:sz w:val="28"/>
                <w:szCs w:val="28"/>
              </w:rPr>
              <w:t>nfluir en el uso a prueba</w:t>
            </w:r>
            <w:r>
              <w:rPr>
                <w:rFonts w:ascii="Times New Roman" w:hAnsi="Times New Roman"/>
                <w:sz w:val="28"/>
                <w:szCs w:val="28"/>
              </w:rPr>
              <w:t>. C</w:t>
            </w:r>
            <w:r w:rsidRPr="00D22DB2">
              <w:rPr>
                <w:rFonts w:ascii="Times New Roman" w:hAnsi="Times New Roman"/>
                <w:sz w:val="28"/>
                <w:szCs w:val="28"/>
              </w:rPr>
              <w:t>onvertir usuarios oscilantes en leales</w:t>
            </w:r>
            <w:r>
              <w:rPr>
                <w:rFonts w:ascii="Times New Roman" w:hAnsi="Times New Roman"/>
                <w:sz w:val="28"/>
                <w:szCs w:val="28"/>
              </w:rPr>
              <w:t>. L</w:t>
            </w:r>
            <w:r w:rsidRPr="00D22DB2">
              <w:rPr>
                <w:rFonts w:ascii="Times New Roman" w:hAnsi="Times New Roman"/>
                <w:sz w:val="28"/>
                <w:szCs w:val="28"/>
              </w:rPr>
              <w:t>ograr que usuarios de marcas competitivas cambien</w:t>
            </w:r>
            <w:r>
              <w:rPr>
                <w:rFonts w:ascii="Times New Roman" w:hAnsi="Times New Roman"/>
                <w:sz w:val="28"/>
                <w:szCs w:val="28"/>
              </w:rPr>
              <w:t>. I</w:t>
            </w:r>
            <w:r w:rsidRPr="00D22DB2">
              <w:rPr>
                <w:rFonts w:ascii="Times New Roman" w:hAnsi="Times New Roman"/>
                <w:sz w:val="28"/>
                <w:szCs w:val="28"/>
              </w:rPr>
              <w:t>nculcar la preferencia por la marca</w:t>
            </w:r>
            <w:r>
              <w:rPr>
                <w:rFonts w:ascii="Times New Roman" w:hAnsi="Times New Roman"/>
                <w:sz w:val="28"/>
                <w:szCs w:val="28"/>
              </w:rPr>
              <w:t>. A</w:t>
            </w:r>
            <w:r w:rsidRPr="00D22DB2">
              <w:rPr>
                <w:rFonts w:ascii="Times New Roman" w:hAnsi="Times New Roman"/>
                <w:sz w:val="28"/>
                <w:szCs w:val="28"/>
              </w:rPr>
              <w:t>temorizar al consumidor</w:t>
            </w:r>
            <w:r>
              <w:rPr>
                <w:rFonts w:ascii="Times New Roman" w:hAnsi="Times New Roman"/>
                <w:sz w:val="28"/>
                <w:szCs w:val="28"/>
              </w:rPr>
              <w:t>. C</w:t>
            </w:r>
            <w:r w:rsidRPr="00D22DB2">
              <w:rPr>
                <w:rFonts w:ascii="Times New Roman" w:hAnsi="Times New Roman"/>
                <w:sz w:val="28"/>
                <w:szCs w:val="28"/>
              </w:rPr>
              <w:t>ambiar el comportamiento fomentando angustia</w:t>
            </w:r>
          </w:p>
          <w:p w:rsidR="00A70445" w:rsidRDefault="00910272" w:rsidP="009102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D22DB2">
              <w:rPr>
                <w:rFonts w:ascii="Times New Roman" w:hAnsi="Times New Roman"/>
                <w:sz w:val="28"/>
                <w:szCs w:val="28"/>
              </w:rPr>
              <w:t>ransformar las experiencias de consumo</w:t>
            </w:r>
            <w:r>
              <w:rPr>
                <w:rFonts w:ascii="Times New Roman" w:hAnsi="Times New Roman"/>
                <w:sz w:val="28"/>
                <w:szCs w:val="28"/>
              </w:rPr>
              <w:t>. S</w:t>
            </w:r>
            <w:r w:rsidRPr="00D22DB2">
              <w:rPr>
                <w:rFonts w:ascii="Times New Roman" w:hAnsi="Times New Roman"/>
                <w:sz w:val="28"/>
                <w:szCs w:val="28"/>
              </w:rPr>
              <w:t>ituar socialmente la marca</w:t>
            </w:r>
            <w:r>
              <w:rPr>
                <w:rFonts w:ascii="Times New Roman" w:hAnsi="Times New Roman"/>
                <w:sz w:val="28"/>
                <w:szCs w:val="28"/>
              </w:rPr>
              <w:t>. P</w:t>
            </w:r>
            <w:r w:rsidRPr="00D22DB2">
              <w:rPr>
                <w:rFonts w:ascii="Times New Roman" w:hAnsi="Times New Roman"/>
                <w:sz w:val="28"/>
                <w:szCs w:val="28"/>
              </w:rPr>
              <w:t>ersuadir al consumidor</w:t>
            </w:r>
            <w:r>
              <w:rPr>
                <w:rFonts w:ascii="Times New Roman" w:hAnsi="Times New Roman"/>
                <w:sz w:val="28"/>
                <w:szCs w:val="28"/>
              </w:rPr>
              <w:t>. P</w:t>
            </w:r>
            <w:r w:rsidRPr="00D22DB2">
              <w:rPr>
                <w:rFonts w:ascii="Times New Roman" w:hAnsi="Times New Roman"/>
                <w:sz w:val="28"/>
                <w:szCs w:val="28"/>
              </w:rPr>
              <w:t>rovocar una respuesta directa</w:t>
            </w:r>
            <w:r w:rsidR="00CF5F8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D2B1E">
              <w:rPr>
                <w:rFonts w:ascii="Times New Roman" w:hAnsi="Times New Roman"/>
                <w:sz w:val="28"/>
                <w:szCs w:val="28"/>
              </w:rPr>
              <w:t>Publicidad digital</w:t>
            </w:r>
          </w:p>
          <w:p w:rsidR="00C56437" w:rsidRDefault="00C56437" w:rsidP="009102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910272" w:rsidRPr="00C47750" w:rsidRDefault="00910272" w:rsidP="009102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u w:val="single"/>
              </w:rPr>
              <w:t>BIBLIOGRAFÍA:</w:t>
            </w:r>
          </w:p>
          <w:p w:rsidR="00910272" w:rsidRDefault="00910272" w:rsidP="009102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DB4"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>Publicidad O´guin, Allen, Semenik, pag. 275-291</w:t>
            </w:r>
          </w:p>
          <w:p w:rsidR="00910272" w:rsidRPr="00551D8F" w:rsidRDefault="007D2B1E" w:rsidP="009102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551D8F">
              <w:rPr>
                <w:rFonts w:ascii="Times New Roman" w:hAnsi="Times New Roman"/>
                <w:sz w:val="28"/>
                <w:szCs w:val="28"/>
              </w:rPr>
              <w:t>Kaufmann, J., (2014), De la publicidad tradicional a la publicidad digital. Universidad de Navarra.</w:t>
            </w: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BIBLIOGRAFÍA COMPLEMENTARIA</w:t>
      </w: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015E90" w:rsidRPr="00C47750" w:rsidTr="00A5082D">
        <w:tc>
          <w:tcPr>
            <w:tcW w:w="8978" w:type="dxa"/>
          </w:tcPr>
          <w:p w:rsidR="00260C90" w:rsidRDefault="00AD2C24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Publicidad, T O´Guinn, C Allen, R Semenik</w:t>
            </w:r>
          </w:p>
          <w:p w:rsidR="00260C90" w:rsidRPr="00C47750" w:rsidRDefault="00260C90" w:rsidP="008F04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ESTRATEGIAS METODOLÓGICAS</w:t>
      </w: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015E90" w:rsidRPr="00C47750" w:rsidTr="00A5082D">
        <w:tc>
          <w:tcPr>
            <w:tcW w:w="8978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CLASES TEÓRICAS: Clases expositivas en las que se promoverá la activa participación de los alumnos. </w:t>
            </w:r>
          </w:p>
          <w:p w:rsidR="00C56437" w:rsidRDefault="00015E90" w:rsidP="00C564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CLASES PRÁCTICAS: </w:t>
            </w:r>
            <w:r w:rsidR="00C56437">
              <w:rPr>
                <w:rFonts w:ascii="Arial" w:hAnsi="Arial" w:cs="Arial"/>
                <w:sz w:val="24"/>
                <w:szCs w:val="24"/>
              </w:rPr>
              <w:t>Alternativas de operativas</w:t>
            </w:r>
            <w:r w:rsidRPr="00C47750">
              <w:rPr>
                <w:rFonts w:ascii="Arial" w:hAnsi="Arial" w:cs="Arial"/>
                <w:sz w:val="24"/>
                <w:szCs w:val="24"/>
              </w:rPr>
              <w:t xml:space="preserve"> de las formulaciones teóricas abordadas en la unidad. </w:t>
            </w:r>
          </w:p>
          <w:p w:rsidR="00015E90" w:rsidRPr="00C47750" w:rsidRDefault="00015E90" w:rsidP="00C564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RECURSOS TÉCNICOS: En la medida de las necesidades se utilizarán proyector multimedia, acceso a internet y amplificador de sonido para la visualización de videos.</w:t>
            </w: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REGULARIDAD</w:t>
      </w: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015E90" w:rsidRPr="00C47750" w:rsidTr="00A5082D">
        <w:tc>
          <w:tcPr>
            <w:tcW w:w="8978" w:type="dxa"/>
          </w:tcPr>
          <w:p w:rsidR="00015E90" w:rsidRPr="00C47750" w:rsidRDefault="00015E90" w:rsidP="00C564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La regularidad se obtendrá mediante la asistencia al 7</w:t>
            </w:r>
            <w:r w:rsidR="00C56437">
              <w:rPr>
                <w:rFonts w:ascii="Arial" w:hAnsi="Arial" w:cs="Arial"/>
                <w:sz w:val="24"/>
                <w:szCs w:val="24"/>
              </w:rPr>
              <w:t>5</w:t>
            </w:r>
            <w:r w:rsidRPr="00C47750">
              <w:rPr>
                <w:rFonts w:ascii="Arial" w:hAnsi="Arial" w:cs="Arial"/>
                <w:sz w:val="24"/>
                <w:szCs w:val="24"/>
              </w:rPr>
              <w:t>% de las clases teóricas y la asistencia y aprobación del 100% de las clases prácticas y la aprobación de las dos evaluaciones parciales con un puntaje superior al 60%. Cada parcial y trabajo práctico tendrá una recuperación.</w:t>
            </w: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EVALUACIÓN Y PROMOCIÓN</w:t>
      </w: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015E90" w:rsidRPr="00C47750" w:rsidTr="00A5082D">
        <w:tc>
          <w:tcPr>
            <w:tcW w:w="8978" w:type="dxa"/>
          </w:tcPr>
          <w:p w:rsidR="00015E90" w:rsidRDefault="00C56437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Promoción directa: Dos parciales y trabajo práctico final con nota </w:t>
            </w:r>
            <w:r w:rsidR="006E23DF">
              <w:rPr>
                <w:rFonts w:ascii="Arial" w:hAnsi="Arial" w:cs="Arial"/>
                <w:sz w:val="24"/>
                <w:szCs w:val="24"/>
              </w:rPr>
              <w:t xml:space="preserve">mínima del 60% 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6E23DF">
              <w:rPr>
                <w:rFonts w:ascii="Arial" w:hAnsi="Arial" w:cs="Arial"/>
                <w:sz w:val="24"/>
                <w:szCs w:val="24"/>
              </w:rPr>
              <w:t>seis).</w:t>
            </w:r>
          </w:p>
          <w:p w:rsidR="00C56437" w:rsidRPr="00C47750" w:rsidRDefault="00C56437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Promoción indirecta: obtenida la regularidad y no la promoción directa, mediante exámen integrado global con calificación igual o superior a seis (60%)</w:t>
            </w: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5E90" w:rsidRPr="00C47750" w:rsidRDefault="00015E90" w:rsidP="00015E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15E90" w:rsidRPr="00C47750" w:rsidRDefault="00015E90" w:rsidP="00015E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15E90" w:rsidRPr="00C47750" w:rsidRDefault="00015E90" w:rsidP="00015E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15E90" w:rsidRPr="00C47750" w:rsidRDefault="00015E90" w:rsidP="00015E90">
      <w:pPr>
        <w:spacing w:after="0" w:line="240" w:lineRule="auto"/>
        <w:jc w:val="center"/>
        <w:rPr>
          <w:rFonts w:ascii="Arial" w:hAnsi="Arial" w:cs="Arial"/>
        </w:rPr>
      </w:pPr>
    </w:p>
    <w:p w:rsidR="000A2FF0" w:rsidRPr="00C47750" w:rsidRDefault="000A2FF0">
      <w:pPr>
        <w:rPr>
          <w:rFonts w:ascii="Arial" w:hAnsi="Arial" w:cs="Arial"/>
        </w:rPr>
      </w:pPr>
      <w:bookmarkStart w:id="0" w:name="_GoBack"/>
      <w:bookmarkEnd w:id="0"/>
    </w:p>
    <w:sectPr w:rsidR="000A2FF0" w:rsidRPr="00C47750" w:rsidSect="004B1CA0">
      <w:headerReference w:type="default" r:id="rId7"/>
      <w:foot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43F" w:rsidRDefault="005C743F" w:rsidP="003661D8">
      <w:pPr>
        <w:spacing w:after="0" w:line="240" w:lineRule="auto"/>
      </w:pPr>
      <w:r>
        <w:separator/>
      </w:r>
    </w:p>
  </w:endnote>
  <w:endnote w:type="continuationSeparator" w:id="1">
    <w:p w:rsidR="005C743F" w:rsidRDefault="005C743F" w:rsidP="00366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0583933"/>
      <w:docPartObj>
        <w:docPartGallery w:val="Page Numbers (Bottom of Page)"/>
        <w:docPartUnique/>
      </w:docPartObj>
    </w:sdtPr>
    <w:sdtContent>
      <w:p w:rsidR="003661D8" w:rsidRDefault="00C91EE4">
        <w:pPr>
          <w:pStyle w:val="Piedepgina"/>
          <w:jc w:val="right"/>
        </w:pPr>
        <w:r>
          <w:fldChar w:fldCharType="begin"/>
        </w:r>
        <w:r w:rsidR="003661D8">
          <w:instrText>PAGE   \* MERGEFORMAT</w:instrText>
        </w:r>
        <w:r>
          <w:fldChar w:fldCharType="separate"/>
        </w:r>
        <w:r w:rsidR="006E23DF" w:rsidRPr="006E23DF">
          <w:rPr>
            <w:noProof/>
            <w:lang w:val="es-ES"/>
          </w:rPr>
          <w:t>5</w:t>
        </w:r>
        <w:r>
          <w:fldChar w:fldCharType="end"/>
        </w:r>
      </w:p>
    </w:sdtContent>
  </w:sdt>
  <w:p w:rsidR="003661D8" w:rsidRDefault="003661D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43F" w:rsidRDefault="005C743F" w:rsidP="003661D8">
      <w:pPr>
        <w:spacing w:after="0" w:line="240" w:lineRule="auto"/>
      </w:pPr>
      <w:r>
        <w:separator/>
      </w:r>
    </w:p>
  </w:footnote>
  <w:footnote w:type="continuationSeparator" w:id="1">
    <w:p w:rsidR="005C743F" w:rsidRDefault="005C743F" w:rsidP="00366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750" w:rsidRDefault="00C47750" w:rsidP="00C47750">
    <w:pPr>
      <w:pStyle w:val="Encabezad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750" w:rsidRPr="00C47750" w:rsidRDefault="00C47750" w:rsidP="00C47750">
    <w:pPr>
      <w:pStyle w:val="Encabezado"/>
      <w:jc w:val="center"/>
    </w:pPr>
    <w:r>
      <w:rPr>
        <w:noProof/>
        <w:lang w:eastAsia="es-AR"/>
      </w:rPr>
      <w:drawing>
        <wp:inline distT="0" distB="0" distL="0" distR="0">
          <wp:extent cx="2428875" cy="657422"/>
          <wp:effectExtent l="19050" t="0" r="9525" b="0"/>
          <wp:docPr id="3" name="2 Imagen" descr="Logo_Color_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_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9777" cy="657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8750D"/>
    <w:multiLevelType w:val="hybridMultilevel"/>
    <w:tmpl w:val="9F120D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7136C"/>
    <w:rsid w:val="000017F1"/>
    <w:rsid w:val="00015E90"/>
    <w:rsid w:val="0002208A"/>
    <w:rsid w:val="0006777C"/>
    <w:rsid w:val="000A2FF0"/>
    <w:rsid w:val="000B2314"/>
    <w:rsid w:val="000C2DAD"/>
    <w:rsid w:val="000D2504"/>
    <w:rsid w:val="00110CA2"/>
    <w:rsid w:val="00111FD1"/>
    <w:rsid w:val="00160C5B"/>
    <w:rsid w:val="00197DD0"/>
    <w:rsid w:val="001E61A3"/>
    <w:rsid w:val="001E676B"/>
    <w:rsid w:val="001F088B"/>
    <w:rsid w:val="00214AAF"/>
    <w:rsid w:val="00260C90"/>
    <w:rsid w:val="00317D17"/>
    <w:rsid w:val="00363D4F"/>
    <w:rsid w:val="003661D8"/>
    <w:rsid w:val="003A318F"/>
    <w:rsid w:val="003A4E1C"/>
    <w:rsid w:val="004452E8"/>
    <w:rsid w:val="0045546F"/>
    <w:rsid w:val="004B1CA0"/>
    <w:rsid w:val="00547B5C"/>
    <w:rsid w:val="00551D8F"/>
    <w:rsid w:val="00594908"/>
    <w:rsid w:val="005C743F"/>
    <w:rsid w:val="00614E85"/>
    <w:rsid w:val="0063735B"/>
    <w:rsid w:val="006703D6"/>
    <w:rsid w:val="006E23DF"/>
    <w:rsid w:val="0071485A"/>
    <w:rsid w:val="0073766D"/>
    <w:rsid w:val="0077136C"/>
    <w:rsid w:val="007A0C9F"/>
    <w:rsid w:val="007B0C81"/>
    <w:rsid w:val="007D2B1E"/>
    <w:rsid w:val="0080671D"/>
    <w:rsid w:val="0085174D"/>
    <w:rsid w:val="008568DE"/>
    <w:rsid w:val="008B6131"/>
    <w:rsid w:val="008F0442"/>
    <w:rsid w:val="00910272"/>
    <w:rsid w:val="009A6C33"/>
    <w:rsid w:val="009F7BDD"/>
    <w:rsid w:val="00A01A69"/>
    <w:rsid w:val="00A4448F"/>
    <w:rsid w:val="00A45625"/>
    <w:rsid w:val="00A557A0"/>
    <w:rsid w:val="00A70445"/>
    <w:rsid w:val="00A84A9E"/>
    <w:rsid w:val="00AC014E"/>
    <w:rsid w:val="00AD2C24"/>
    <w:rsid w:val="00AE6DD5"/>
    <w:rsid w:val="00B167CA"/>
    <w:rsid w:val="00B854F7"/>
    <w:rsid w:val="00BD0CE2"/>
    <w:rsid w:val="00C11C83"/>
    <w:rsid w:val="00C47750"/>
    <w:rsid w:val="00C56437"/>
    <w:rsid w:val="00C91EE4"/>
    <w:rsid w:val="00CB087C"/>
    <w:rsid w:val="00CF5F89"/>
    <w:rsid w:val="00D27E74"/>
    <w:rsid w:val="00D3793D"/>
    <w:rsid w:val="00D775EE"/>
    <w:rsid w:val="00F24538"/>
    <w:rsid w:val="00F5461A"/>
    <w:rsid w:val="00FF1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36C"/>
    <w:pPr>
      <w:spacing w:after="200" w:line="276" w:lineRule="auto"/>
    </w:pPr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6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61D8"/>
    <w:rPr>
      <w:rFonts w:ascii="Calibri" w:eastAsia="Calibri" w:hAnsi="Calibri" w:cs="Times New Roman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366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61D8"/>
    <w:rPr>
      <w:rFonts w:ascii="Calibri" w:eastAsia="Calibri" w:hAnsi="Calibri" w:cs="Times New Roman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7750"/>
    <w:rPr>
      <w:rFonts w:ascii="Tahoma" w:eastAsia="Calibri" w:hAnsi="Tahoma" w:cs="Tahoma"/>
      <w:sz w:val="16"/>
      <w:szCs w:val="16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1022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Morgado</dc:creator>
  <cp:lastModifiedBy>Decanato-01</cp:lastModifiedBy>
  <cp:revision>3</cp:revision>
  <cp:lastPrinted>2018-02-27T14:12:00Z</cp:lastPrinted>
  <dcterms:created xsi:type="dcterms:W3CDTF">2019-03-07T14:01:00Z</dcterms:created>
  <dcterms:modified xsi:type="dcterms:W3CDTF">2019-03-19T20:30:00Z</dcterms:modified>
</cp:coreProperties>
</file>