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8F" w:rsidRDefault="003A318F" w:rsidP="0077136C">
      <w:pPr>
        <w:spacing w:after="0" w:line="240" w:lineRule="auto"/>
        <w:rPr>
          <w:rFonts w:ascii="Arial" w:hAnsi="Arial" w:cs="Arial"/>
        </w:rPr>
      </w:pPr>
    </w:p>
    <w:p w:rsidR="003A318F" w:rsidRDefault="003A318F"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MATERIA</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C47750" w:rsidTr="003D6EAC">
        <w:tc>
          <w:tcPr>
            <w:tcW w:w="8978" w:type="dxa"/>
          </w:tcPr>
          <w:p w:rsidR="0077136C" w:rsidRPr="00C47750" w:rsidRDefault="00E8220B" w:rsidP="003D6EAC">
            <w:pPr>
              <w:spacing w:after="0" w:line="240" w:lineRule="auto"/>
              <w:rPr>
                <w:rFonts w:ascii="Arial" w:hAnsi="Arial" w:cs="Arial"/>
                <w:sz w:val="24"/>
                <w:szCs w:val="24"/>
              </w:rPr>
            </w:pPr>
            <w:r>
              <w:rPr>
                <w:rFonts w:ascii="Arial" w:hAnsi="Arial" w:cs="Arial"/>
                <w:sz w:val="24"/>
                <w:szCs w:val="24"/>
              </w:rPr>
              <w:t xml:space="preserve">TEORÍA DE LA COMUNICACIÓN </w:t>
            </w:r>
            <w:r w:rsidR="006703D6">
              <w:rPr>
                <w:rFonts w:ascii="Arial" w:hAnsi="Arial" w:cs="Arial"/>
                <w:sz w:val="24"/>
                <w:szCs w:val="24"/>
              </w:rPr>
              <w:t xml:space="preserve"> (AÑO 2018)</w:t>
            </w:r>
          </w:p>
        </w:tc>
      </w:tr>
    </w:tbl>
    <w:p w:rsidR="0077136C" w:rsidRPr="00C47750" w:rsidRDefault="0077136C" w:rsidP="0077136C">
      <w:pPr>
        <w:tabs>
          <w:tab w:val="left" w:pos="2160"/>
        </w:tabs>
        <w:spacing w:after="0" w:line="240" w:lineRule="auto"/>
        <w:rPr>
          <w:rFonts w:ascii="Arial" w:hAnsi="Arial" w:cs="Arial"/>
          <w:sz w:val="24"/>
          <w:szCs w:val="24"/>
        </w:rPr>
      </w:pPr>
      <w:r w:rsidRPr="00C47750">
        <w:rPr>
          <w:rFonts w:ascii="Arial" w:hAnsi="Arial" w:cs="Arial"/>
          <w:sz w:val="24"/>
          <w:szCs w:val="24"/>
        </w:rPr>
        <w:tab/>
      </w:r>
    </w:p>
    <w:p w:rsidR="0077136C" w:rsidRPr="00C47750" w:rsidRDefault="0077136C" w:rsidP="0077136C">
      <w:pPr>
        <w:tabs>
          <w:tab w:val="left" w:pos="2160"/>
        </w:tabs>
        <w:spacing w:after="0" w:line="240" w:lineRule="auto"/>
        <w:rPr>
          <w:rFonts w:ascii="Arial" w:hAnsi="Arial" w:cs="Arial"/>
          <w:b/>
          <w:sz w:val="24"/>
          <w:szCs w:val="24"/>
        </w:rPr>
      </w:pPr>
      <w:r w:rsidRPr="00C47750">
        <w:rPr>
          <w:rFonts w:ascii="Arial" w:hAnsi="Arial" w:cs="Arial"/>
          <w:b/>
          <w:sz w:val="24"/>
          <w:szCs w:val="24"/>
        </w:rPr>
        <w:t>FACULTAD</w:t>
      </w:r>
    </w:p>
    <w:p w:rsidR="0077136C" w:rsidRPr="00C47750" w:rsidRDefault="0077136C" w:rsidP="0077136C">
      <w:pPr>
        <w:tabs>
          <w:tab w:val="left" w:pos="2160"/>
        </w:tabs>
        <w:spacing w:after="0" w:line="240" w:lineRule="auto"/>
        <w:rPr>
          <w:rFonts w:ascii="Arial" w:hAnsi="Arial" w:cs="Arial"/>
          <w:b/>
          <w:sz w:val="24"/>
          <w:szCs w:val="24"/>
        </w:rPr>
      </w:pPr>
    </w:p>
    <w:p w:rsidR="0077136C" w:rsidRPr="00C47750" w:rsidRDefault="00A4448F" w:rsidP="007713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s>
        <w:spacing w:after="0" w:line="240" w:lineRule="auto"/>
        <w:rPr>
          <w:rFonts w:ascii="Arial" w:hAnsi="Arial" w:cs="Arial"/>
          <w:sz w:val="24"/>
          <w:szCs w:val="24"/>
        </w:rPr>
      </w:pPr>
      <w:r>
        <w:rPr>
          <w:rFonts w:ascii="Arial" w:hAnsi="Arial" w:cs="Arial"/>
          <w:sz w:val="24"/>
          <w:szCs w:val="24"/>
        </w:rPr>
        <w:t>FACULTAD DE HUMANIDADES</w:t>
      </w:r>
    </w:p>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CARRERA</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C47750" w:rsidTr="003D6EAC">
        <w:tc>
          <w:tcPr>
            <w:tcW w:w="8978" w:type="dxa"/>
          </w:tcPr>
          <w:p w:rsidR="0077136C" w:rsidRPr="00C47750" w:rsidRDefault="00A4448F" w:rsidP="003D6EAC">
            <w:pPr>
              <w:spacing w:after="0" w:line="240" w:lineRule="auto"/>
              <w:rPr>
                <w:rFonts w:ascii="Arial" w:hAnsi="Arial" w:cs="Arial"/>
                <w:sz w:val="24"/>
                <w:szCs w:val="24"/>
              </w:rPr>
            </w:pPr>
            <w:r>
              <w:rPr>
                <w:rFonts w:ascii="Arial" w:hAnsi="Arial" w:cs="Arial"/>
                <w:sz w:val="24"/>
                <w:szCs w:val="24"/>
              </w:rPr>
              <w:t>COMUNICACIÓN</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SEDE</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C47750" w:rsidTr="003D6EAC">
        <w:tc>
          <w:tcPr>
            <w:tcW w:w="8978" w:type="dxa"/>
          </w:tcPr>
          <w:p w:rsidR="0077136C" w:rsidRPr="00C47750" w:rsidRDefault="00A4448F" w:rsidP="00260C90">
            <w:pPr>
              <w:spacing w:after="0" w:line="240" w:lineRule="auto"/>
              <w:rPr>
                <w:rFonts w:ascii="Arial" w:hAnsi="Arial" w:cs="Arial"/>
                <w:sz w:val="24"/>
                <w:szCs w:val="24"/>
              </w:rPr>
            </w:pPr>
            <w:r>
              <w:rPr>
                <w:rFonts w:ascii="Arial" w:hAnsi="Arial" w:cs="Arial"/>
                <w:sz w:val="24"/>
                <w:szCs w:val="24"/>
              </w:rPr>
              <w:t>MENDOZA</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UBICACIÓN EN EL PLAN DE ESTUDIOS</w:t>
      </w:r>
    </w:p>
    <w:p w:rsidR="0077136C" w:rsidRPr="00C47750" w:rsidRDefault="0077136C"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47750">
        <w:rPr>
          <w:rFonts w:ascii="Arial" w:hAnsi="Arial" w:cs="Arial"/>
          <w:sz w:val="24"/>
          <w:szCs w:val="24"/>
        </w:rPr>
        <w:t xml:space="preserve">PRIMER SEMESTRE – </w:t>
      </w:r>
      <w:r w:rsidR="00E8220B">
        <w:rPr>
          <w:rFonts w:ascii="Arial" w:hAnsi="Arial" w:cs="Arial"/>
          <w:sz w:val="24"/>
          <w:szCs w:val="24"/>
        </w:rPr>
        <w:t>1</w:t>
      </w:r>
      <w:r w:rsidRPr="00C47750">
        <w:rPr>
          <w:rFonts w:ascii="Arial" w:hAnsi="Arial" w:cs="Arial"/>
          <w:sz w:val="24"/>
          <w:szCs w:val="24"/>
        </w:rPr>
        <w:t>° AÑO</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ÁREA DE FORMACIÓN</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47750">
        <w:rPr>
          <w:rFonts w:ascii="Arial" w:hAnsi="Arial" w:cs="Arial"/>
          <w:sz w:val="24"/>
          <w:szCs w:val="24"/>
        </w:rPr>
        <w:t>CICLO DE FORMACIÓN BÁSICA</w:t>
      </w:r>
      <w:r w:rsidR="00260C90">
        <w:rPr>
          <w:rFonts w:ascii="Arial" w:hAnsi="Arial" w:cs="Arial"/>
          <w:sz w:val="24"/>
          <w:szCs w:val="24"/>
        </w:rPr>
        <w:t xml:space="preserve"> (CBC – OTROS)</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TURNO</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C47750" w:rsidTr="003D6EAC">
        <w:tc>
          <w:tcPr>
            <w:tcW w:w="8978" w:type="dxa"/>
          </w:tcPr>
          <w:p w:rsidR="0077136C" w:rsidRPr="00C47750" w:rsidRDefault="00A4448F" w:rsidP="00260C90">
            <w:pPr>
              <w:spacing w:after="0" w:line="240" w:lineRule="auto"/>
              <w:rPr>
                <w:rFonts w:ascii="Arial" w:hAnsi="Arial" w:cs="Arial"/>
                <w:sz w:val="24"/>
                <w:szCs w:val="24"/>
              </w:rPr>
            </w:pPr>
            <w:r>
              <w:rPr>
                <w:rFonts w:ascii="Arial" w:hAnsi="Arial" w:cs="Arial"/>
                <w:sz w:val="24"/>
                <w:szCs w:val="24"/>
              </w:rPr>
              <w:t>NOCHE</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 xml:space="preserve">CARGA HORARIA </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7136C" w:rsidRPr="00C47750" w:rsidTr="003D6EAC">
        <w:tc>
          <w:tcPr>
            <w:tcW w:w="2992" w:type="dxa"/>
          </w:tcPr>
          <w:p w:rsidR="0077136C" w:rsidRPr="00C47750" w:rsidRDefault="0077136C" w:rsidP="003D6EAC">
            <w:pPr>
              <w:spacing w:after="0" w:line="240" w:lineRule="auto"/>
              <w:rPr>
                <w:rFonts w:ascii="Arial" w:hAnsi="Arial" w:cs="Arial"/>
                <w:sz w:val="24"/>
                <w:szCs w:val="24"/>
              </w:rPr>
            </w:pPr>
            <w:r w:rsidRPr="00C47750">
              <w:rPr>
                <w:rFonts w:ascii="Arial" w:hAnsi="Arial" w:cs="Arial"/>
                <w:sz w:val="24"/>
                <w:szCs w:val="24"/>
              </w:rPr>
              <w:t xml:space="preserve">HORAS  TOTALES </w:t>
            </w:r>
          </w:p>
        </w:tc>
        <w:tc>
          <w:tcPr>
            <w:tcW w:w="2993" w:type="dxa"/>
          </w:tcPr>
          <w:p w:rsidR="0077136C" w:rsidRPr="00C47750" w:rsidRDefault="0077136C" w:rsidP="003D6EAC">
            <w:pPr>
              <w:spacing w:after="0" w:line="240" w:lineRule="auto"/>
              <w:rPr>
                <w:rFonts w:ascii="Arial" w:hAnsi="Arial" w:cs="Arial"/>
                <w:sz w:val="24"/>
                <w:szCs w:val="24"/>
              </w:rPr>
            </w:pPr>
            <w:r w:rsidRPr="00C47750">
              <w:rPr>
                <w:rFonts w:ascii="Arial" w:hAnsi="Arial" w:cs="Arial"/>
                <w:sz w:val="24"/>
                <w:szCs w:val="24"/>
              </w:rPr>
              <w:t>HORAS TEORICAS</w:t>
            </w:r>
          </w:p>
        </w:tc>
        <w:tc>
          <w:tcPr>
            <w:tcW w:w="2993" w:type="dxa"/>
          </w:tcPr>
          <w:p w:rsidR="0077136C" w:rsidRPr="00C47750" w:rsidRDefault="0077136C" w:rsidP="003D6EAC">
            <w:pPr>
              <w:spacing w:after="0" w:line="240" w:lineRule="auto"/>
              <w:rPr>
                <w:rFonts w:ascii="Arial" w:hAnsi="Arial" w:cs="Arial"/>
                <w:sz w:val="24"/>
                <w:szCs w:val="24"/>
              </w:rPr>
            </w:pPr>
            <w:r w:rsidRPr="00C47750">
              <w:rPr>
                <w:rFonts w:ascii="Arial" w:hAnsi="Arial" w:cs="Arial"/>
                <w:sz w:val="24"/>
                <w:szCs w:val="24"/>
              </w:rPr>
              <w:t>HORAS PRACTICAS</w:t>
            </w:r>
          </w:p>
        </w:tc>
      </w:tr>
      <w:tr w:rsidR="0077136C" w:rsidRPr="00C47750" w:rsidTr="003D6EAC">
        <w:tc>
          <w:tcPr>
            <w:tcW w:w="2992" w:type="dxa"/>
          </w:tcPr>
          <w:p w:rsidR="0077136C" w:rsidRPr="00C47750" w:rsidRDefault="0077136C" w:rsidP="003D6EAC">
            <w:pPr>
              <w:spacing w:after="0" w:line="240" w:lineRule="auto"/>
              <w:jc w:val="center"/>
              <w:rPr>
                <w:rFonts w:ascii="Arial" w:hAnsi="Arial" w:cs="Arial"/>
                <w:sz w:val="24"/>
                <w:szCs w:val="24"/>
              </w:rPr>
            </w:pPr>
            <w:r w:rsidRPr="00C47750">
              <w:rPr>
                <w:rFonts w:ascii="Arial" w:hAnsi="Arial" w:cs="Arial"/>
                <w:sz w:val="24"/>
                <w:szCs w:val="24"/>
              </w:rPr>
              <w:t>60</w:t>
            </w:r>
          </w:p>
        </w:tc>
        <w:tc>
          <w:tcPr>
            <w:tcW w:w="2993" w:type="dxa"/>
          </w:tcPr>
          <w:p w:rsidR="0077136C" w:rsidRPr="00C47750" w:rsidRDefault="0077136C" w:rsidP="003D6EAC">
            <w:pPr>
              <w:spacing w:after="0" w:line="240" w:lineRule="auto"/>
              <w:jc w:val="center"/>
              <w:rPr>
                <w:rFonts w:ascii="Arial" w:hAnsi="Arial" w:cs="Arial"/>
                <w:sz w:val="24"/>
                <w:szCs w:val="24"/>
              </w:rPr>
            </w:pPr>
            <w:r w:rsidRPr="00C47750">
              <w:rPr>
                <w:rFonts w:ascii="Arial" w:hAnsi="Arial" w:cs="Arial"/>
                <w:sz w:val="24"/>
                <w:szCs w:val="24"/>
              </w:rPr>
              <w:t>50</w:t>
            </w:r>
          </w:p>
        </w:tc>
        <w:tc>
          <w:tcPr>
            <w:tcW w:w="2993" w:type="dxa"/>
          </w:tcPr>
          <w:p w:rsidR="0077136C" w:rsidRPr="00C47750" w:rsidRDefault="0077136C" w:rsidP="003D6EAC">
            <w:pPr>
              <w:spacing w:after="0" w:line="240" w:lineRule="auto"/>
              <w:jc w:val="center"/>
              <w:rPr>
                <w:rFonts w:ascii="Arial" w:hAnsi="Arial" w:cs="Arial"/>
                <w:sz w:val="24"/>
                <w:szCs w:val="24"/>
              </w:rPr>
            </w:pPr>
            <w:r w:rsidRPr="00C47750">
              <w:rPr>
                <w:rFonts w:ascii="Arial" w:hAnsi="Arial" w:cs="Arial"/>
                <w:sz w:val="24"/>
                <w:szCs w:val="24"/>
              </w:rPr>
              <w:t>10</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EQUIPO DOCENTE</w:t>
      </w:r>
    </w:p>
    <w:p w:rsidR="0006777C" w:rsidRPr="00C47750" w:rsidRDefault="0006777C" w:rsidP="0077136C">
      <w:pPr>
        <w:spacing w:after="0" w:line="240" w:lineRule="auto"/>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5"/>
      </w:tblGrid>
      <w:tr w:rsidR="0077136C" w:rsidRPr="00C47750" w:rsidTr="00214AAF">
        <w:tc>
          <w:tcPr>
            <w:tcW w:w="8975" w:type="dxa"/>
          </w:tcPr>
          <w:p w:rsidR="00214AAF" w:rsidRPr="00C47750" w:rsidRDefault="00E8220B" w:rsidP="0006777C">
            <w:pPr>
              <w:spacing w:after="0"/>
              <w:rPr>
                <w:rFonts w:ascii="Arial" w:hAnsi="Arial" w:cs="Arial"/>
                <w:sz w:val="24"/>
                <w:szCs w:val="24"/>
              </w:rPr>
            </w:pPr>
            <w:r>
              <w:rPr>
                <w:rFonts w:ascii="Arial" w:hAnsi="Arial" w:cs="Arial"/>
                <w:sz w:val="24"/>
                <w:szCs w:val="24"/>
              </w:rPr>
              <w:t>PROFESOR TITULAR: MAG. MARIO MAURE</w:t>
            </w:r>
          </w:p>
          <w:p w:rsidR="0077136C" w:rsidRPr="00C47750" w:rsidRDefault="0077136C" w:rsidP="006F3A84">
            <w:pPr>
              <w:spacing w:after="0"/>
              <w:rPr>
                <w:rFonts w:ascii="Arial" w:hAnsi="Arial" w:cs="Arial"/>
                <w:sz w:val="24"/>
                <w:szCs w:val="24"/>
              </w:rPr>
            </w:pP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ASIGNATURAS CORRELATIVAS PREVIAS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C47750" w:rsidTr="003D6EAC">
        <w:tc>
          <w:tcPr>
            <w:tcW w:w="8978" w:type="dxa"/>
          </w:tcPr>
          <w:p w:rsidR="0077136C" w:rsidRPr="00C47750" w:rsidRDefault="0077136C" w:rsidP="003D6EAC">
            <w:pPr>
              <w:spacing w:after="0" w:line="240" w:lineRule="auto"/>
              <w:rPr>
                <w:rFonts w:ascii="Arial" w:hAnsi="Arial" w:cs="Arial"/>
                <w:sz w:val="24"/>
                <w:szCs w:val="24"/>
              </w:rPr>
            </w:pPr>
            <w:r w:rsidRPr="00C47750">
              <w:rPr>
                <w:rFonts w:ascii="Arial" w:hAnsi="Arial" w:cs="Arial"/>
                <w:sz w:val="24"/>
                <w:szCs w:val="24"/>
              </w:rPr>
              <w:t>SIN CORRELATIVIDADES PREVIAS</w:t>
            </w:r>
          </w:p>
        </w:tc>
      </w:tr>
    </w:tbl>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C47750" w:rsidTr="003D6EAC">
        <w:tc>
          <w:tcPr>
            <w:tcW w:w="8978" w:type="dxa"/>
          </w:tcPr>
          <w:p w:rsidR="0077136C" w:rsidRDefault="00260C90" w:rsidP="00F5461A">
            <w:pPr>
              <w:spacing w:after="0"/>
              <w:rPr>
                <w:rFonts w:ascii="Arial" w:hAnsi="Arial" w:cs="Arial"/>
                <w:sz w:val="24"/>
                <w:szCs w:val="24"/>
              </w:rPr>
            </w:pPr>
            <w:r>
              <w:rPr>
                <w:rFonts w:ascii="Arial" w:hAnsi="Arial" w:cs="Arial"/>
                <w:sz w:val="24"/>
                <w:szCs w:val="24"/>
              </w:rPr>
              <w:t>MATERIA 1</w:t>
            </w:r>
            <w:r w:rsidR="00023A22">
              <w:rPr>
                <w:rFonts w:ascii="Arial" w:hAnsi="Arial" w:cs="Arial"/>
                <w:sz w:val="24"/>
                <w:szCs w:val="24"/>
              </w:rPr>
              <w:t xml:space="preserve"> SEMIOLOGÍA</w:t>
            </w:r>
          </w:p>
          <w:p w:rsidR="00260C90" w:rsidRDefault="00260C90" w:rsidP="00F5461A">
            <w:pPr>
              <w:spacing w:after="0"/>
              <w:rPr>
                <w:rFonts w:ascii="Arial" w:hAnsi="Arial" w:cs="Arial"/>
                <w:sz w:val="24"/>
                <w:szCs w:val="24"/>
              </w:rPr>
            </w:pPr>
            <w:r>
              <w:rPr>
                <w:rFonts w:ascii="Arial" w:hAnsi="Arial" w:cs="Arial"/>
                <w:sz w:val="24"/>
                <w:szCs w:val="24"/>
              </w:rPr>
              <w:t>MATERIA 2</w:t>
            </w:r>
            <w:r w:rsidR="00023A22">
              <w:rPr>
                <w:rFonts w:ascii="Arial" w:hAnsi="Arial" w:cs="Arial"/>
                <w:sz w:val="24"/>
                <w:szCs w:val="24"/>
              </w:rPr>
              <w:t xml:space="preserve"> DISEÑO Y COMUNICACIÓN VISUAL</w:t>
            </w:r>
          </w:p>
          <w:p w:rsidR="00260C90" w:rsidRDefault="00260C90" w:rsidP="00F5461A">
            <w:pPr>
              <w:spacing w:after="0"/>
              <w:rPr>
                <w:rFonts w:ascii="Arial" w:hAnsi="Arial" w:cs="Arial"/>
                <w:sz w:val="24"/>
                <w:szCs w:val="24"/>
              </w:rPr>
            </w:pPr>
            <w:r>
              <w:rPr>
                <w:rFonts w:ascii="Arial" w:hAnsi="Arial" w:cs="Arial"/>
                <w:sz w:val="24"/>
                <w:szCs w:val="24"/>
              </w:rPr>
              <w:lastRenderedPageBreak/>
              <w:t>MATERIA 3</w:t>
            </w:r>
            <w:r w:rsidR="00023A22">
              <w:rPr>
                <w:rFonts w:ascii="Arial" w:hAnsi="Arial" w:cs="Arial"/>
                <w:sz w:val="24"/>
                <w:szCs w:val="24"/>
              </w:rPr>
              <w:t xml:space="preserve"> PSICOLOGÍA DE LA COMUNICACIÓN</w:t>
            </w:r>
          </w:p>
          <w:p w:rsidR="00023A22" w:rsidRDefault="00023A22" w:rsidP="00F5461A">
            <w:pPr>
              <w:spacing w:after="0"/>
              <w:rPr>
                <w:rFonts w:ascii="Arial" w:hAnsi="Arial" w:cs="Arial"/>
                <w:sz w:val="24"/>
                <w:szCs w:val="24"/>
              </w:rPr>
            </w:pPr>
            <w:r>
              <w:rPr>
                <w:rFonts w:ascii="Arial" w:hAnsi="Arial" w:cs="Arial"/>
                <w:sz w:val="24"/>
                <w:szCs w:val="24"/>
              </w:rPr>
              <w:t>MATERIA 4 SOCIOLOGÍA DE LA COMUNICACIÓN</w:t>
            </w:r>
          </w:p>
          <w:p w:rsidR="00260C90" w:rsidRPr="00C47750" w:rsidRDefault="00023A22" w:rsidP="00F5461A">
            <w:pPr>
              <w:spacing w:after="0"/>
              <w:rPr>
                <w:rFonts w:ascii="Arial" w:hAnsi="Arial" w:cs="Arial"/>
                <w:sz w:val="24"/>
                <w:szCs w:val="24"/>
              </w:rPr>
            </w:pPr>
            <w:r>
              <w:rPr>
                <w:rFonts w:ascii="Arial" w:hAnsi="Arial" w:cs="Arial"/>
                <w:sz w:val="24"/>
                <w:szCs w:val="24"/>
              </w:rPr>
              <w:t>MATERIA 5 COMUNICACIÓN ORGANIZACIO</w:t>
            </w:r>
          </w:p>
        </w:tc>
      </w:tr>
    </w:tbl>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FUNDAMENTOS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C47750" w:rsidTr="003D6EAC">
        <w:tc>
          <w:tcPr>
            <w:tcW w:w="8978" w:type="dxa"/>
          </w:tcPr>
          <w:p w:rsidR="00025E6C" w:rsidRPr="006F3A84" w:rsidRDefault="00025E6C" w:rsidP="00025E6C">
            <w:pPr>
              <w:spacing w:after="0"/>
              <w:jc w:val="both"/>
              <w:rPr>
                <w:rFonts w:ascii="Arial" w:hAnsi="Arial" w:cs="Arial"/>
                <w:sz w:val="24"/>
                <w:szCs w:val="24"/>
              </w:rPr>
            </w:pPr>
            <w:r w:rsidRPr="006F3A84">
              <w:rPr>
                <w:rFonts w:ascii="Arial" w:hAnsi="Arial" w:cs="Arial"/>
                <w:sz w:val="24"/>
                <w:szCs w:val="24"/>
              </w:rPr>
              <w:t>La comunicación es el hecho antropológico fundamental. Mantiene con la cultura una relación inescindible al punto que algunos pensadores se preguntan si no es posible hablar de ellas como sinónimos. En otras palabras: nos volvemos humanos ahí, en esa “</w:t>
            </w:r>
            <w:proofErr w:type="spellStart"/>
            <w:r w:rsidRPr="006F3A84">
              <w:rPr>
                <w:rFonts w:ascii="Arial" w:hAnsi="Arial" w:cs="Arial"/>
                <w:sz w:val="24"/>
                <w:szCs w:val="24"/>
              </w:rPr>
              <w:t>semió</w:t>
            </w:r>
            <w:r w:rsidR="001422AE" w:rsidRPr="006F3A84">
              <w:rPr>
                <w:rFonts w:ascii="Arial" w:hAnsi="Arial" w:cs="Arial"/>
                <w:sz w:val="24"/>
                <w:szCs w:val="24"/>
              </w:rPr>
              <w:t>sfera</w:t>
            </w:r>
            <w:proofErr w:type="spellEnd"/>
            <w:r w:rsidR="001422AE" w:rsidRPr="006F3A84">
              <w:rPr>
                <w:rFonts w:ascii="Arial" w:hAnsi="Arial" w:cs="Arial"/>
                <w:sz w:val="24"/>
                <w:szCs w:val="24"/>
              </w:rPr>
              <w:t>”-esa atmósfera de signos</w:t>
            </w:r>
            <w:r w:rsidRPr="006F3A84">
              <w:rPr>
                <w:rFonts w:ascii="Arial" w:hAnsi="Arial" w:cs="Arial"/>
                <w:sz w:val="24"/>
                <w:szCs w:val="24"/>
              </w:rPr>
              <w:t>-, en ese espacio que nos separa de eso que llamamos “naturaleza”. Ahora bien, los diferentes modos de organizarse de cada comunidad cultural implican relaciones políticas que se complejizan en función del desarrollo tecnológico para producir,</w:t>
            </w:r>
            <w:r w:rsidR="008C6B77" w:rsidRPr="006F3A84">
              <w:rPr>
                <w:rFonts w:ascii="Arial" w:hAnsi="Arial" w:cs="Arial"/>
                <w:sz w:val="24"/>
                <w:szCs w:val="24"/>
              </w:rPr>
              <w:t xml:space="preserve"> conservar y hacer circular textos, en el sentido amplio del término. E</w:t>
            </w:r>
            <w:r w:rsidRPr="006F3A84">
              <w:rPr>
                <w:rFonts w:ascii="Arial" w:hAnsi="Arial" w:cs="Arial"/>
                <w:sz w:val="24"/>
                <w:szCs w:val="24"/>
              </w:rPr>
              <w:t>n el mundo contemporáneo hablamos de un predominio de la informática bajo la hegemonía del capitalismo global.</w:t>
            </w:r>
          </w:p>
          <w:p w:rsidR="00260C90" w:rsidRPr="006F3A84" w:rsidRDefault="00025E6C" w:rsidP="00025E6C">
            <w:pPr>
              <w:spacing w:after="0"/>
              <w:jc w:val="both"/>
              <w:rPr>
                <w:rFonts w:ascii="Arial" w:hAnsi="Arial" w:cs="Arial"/>
                <w:sz w:val="24"/>
                <w:szCs w:val="24"/>
              </w:rPr>
            </w:pPr>
            <w:r w:rsidRPr="006F3A84">
              <w:rPr>
                <w:rFonts w:ascii="Arial" w:hAnsi="Arial" w:cs="Arial"/>
                <w:sz w:val="24"/>
                <w:szCs w:val="24"/>
              </w:rPr>
              <w:t xml:space="preserve">Analizar la comunicación a luz de alguna de las teorías que la han propuesto como objeto y comprender el contexto histórico-social de surgimiento de esas teorías, nos aproxima a la comprensión </w:t>
            </w:r>
            <w:r w:rsidR="00524CF4" w:rsidRPr="006F3A84">
              <w:rPr>
                <w:rFonts w:ascii="Arial" w:hAnsi="Arial" w:cs="Arial"/>
                <w:sz w:val="24"/>
                <w:szCs w:val="24"/>
              </w:rPr>
              <w:t>de las sociedades</w:t>
            </w:r>
            <w:r w:rsidRPr="006F3A84">
              <w:rPr>
                <w:rFonts w:ascii="Arial" w:hAnsi="Arial" w:cs="Arial"/>
                <w:sz w:val="24"/>
                <w:szCs w:val="24"/>
              </w:rPr>
              <w:t>.</w:t>
            </w:r>
          </w:p>
          <w:p w:rsidR="00CA2821" w:rsidRPr="006F3A84" w:rsidRDefault="006F3A84" w:rsidP="006F3A84">
            <w:pPr>
              <w:spacing w:after="0"/>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Este </w:t>
            </w:r>
            <w:r w:rsidR="00701A50" w:rsidRPr="006F3A84">
              <w:rPr>
                <w:rFonts w:ascii="Arial" w:eastAsia="Times New Roman" w:hAnsi="Arial" w:cs="Arial"/>
                <w:sz w:val="24"/>
                <w:szCs w:val="24"/>
                <w:lang w:val="es-ES" w:eastAsia="es-ES"/>
              </w:rPr>
              <w:t xml:space="preserve">espacio </w:t>
            </w:r>
            <w:r w:rsidR="00CA2821" w:rsidRPr="006F3A84">
              <w:rPr>
                <w:rFonts w:ascii="Arial" w:eastAsia="Times New Roman" w:hAnsi="Arial" w:cs="Arial"/>
                <w:sz w:val="24"/>
                <w:szCs w:val="24"/>
                <w:lang w:val="es-ES" w:eastAsia="es-ES"/>
              </w:rPr>
              <w:t xml:space="preserve"> involucra a la comunicación como un proceso en que participan dos sujetos: (singulares o colectivos), más específicamente entre el “querer –decir” de uno y el  “poder – comprender” del otro. Este  proceso se da siempre en una situación específica enmarcada en un ámbito sociocultural determinado no siempre equivalente para todos los actores del proceso e involucra una serie de conocimientos sobre el mundo por parte de </w:t>
            </w:r>
            <w:r w:rsidR="00CD11A6" w:rsidRPr="006F3A84">
              <w:rPr>
                <w:rFonts w:ascii="Arial" w:eastAsia="Times New Roman" w:hAnsi="Arial" w:cs="Arial"/>
                <w:sz w:val="24"/>
                <w:szCs w:val="24"/>
                <w:lang w:val="es-ES" w:eastAsia="es-ES"/>
              </w:rPr>
              <w:t>los sujetos. Por eso se</w:t>
            </w:r>
            <w:r w:rsidR="00CA2821" w:rsidRPr="006F3A84">
              <w:rPr>
                <w:rFonts w:ascii="Arial" w:eastAsia="Times New Roman" w:hAnsi="Arial" w:cs="Arial"/>
                <w:sz w:val="24"/>
                <w:szCs w:val="24"/>
                <w:lang w:val="es-ES" w:eastAsia="es-ES"/>
              </w:rPr>
              <w:t xml:space="preserve"> traba</w:t>
            </w:r>
            <w:r w:rsidR="00CD11A6" w:rsidRPr="006F3A84">
              <w:rPr>
                <w:rFonts w:ascii="Arial" w:eastAsia="Times New Roman" w:hAnsi="Arial" w:cs="Arial"/>
                <w:sz w:val="24"/>
                <w:szCs w:val="24"/>
                <w:lang w:val="es-ES" w:eastAsia="es-ES"/>
              </w:rPr>
              <w:t>ja</w:t>
            </w:r>
            <w:r w:rsidR="00CA2821" w:rsidRPr="006F3A84">
              <w:rPr>
                <w:rFonts w:ascii="Arial" w:eastAsia="Times New Roman" w:hAnsi="Arial" w:cs="Arial"/>
                <w:sz w:val="24"/>
                <w:szCs w:val="24"/>
                <w:lang w:val="es-ES" w:eastAsia="es-ES"/>
              </w:rPr>
              <w:t xml:space="preserve"> el enfoque de la comunicación centrado en la interpersonal y grupal. Así como también se estudia el amplio campo vinculado con la comunicación como fenómeno social básicamente relacionada al fenómeno de la comunicación masiva y mediática, entendida como “educación sobre los medios”</w:t>
            </w:r>
          </w:p>
          <w:p w:rsidR="00CA2821" w:rsidRPr="00C47750" w:rsidRDefault="00CA2821" w:rsidP="00025E6C">
            <w:pPr>
              <w:spacing w:after="0"/>
              <w:jc w:val="both"/>
              <w:rPr>
                <w:rFonts w:ascii="Arial" w:hAnsi="Arial" w:cs="Arial"/>
                <w:sz w:val="24"/>
                <w:szCs w:val="24"/>
              </w:rPr>
            </w:pPr>
          </w:p>
        </w:tc>
      </w:tr>
    </w:tbl>
    <w:p w:rsidR="0077136C" w:rsidRPr="00C47750" w:rsidRDefault="0077136C" w:rsidP="0077136C">
      <w:pPr>
        <w:spacing w:after="0" w:line="240" w:lineRule="auto"/>
        <w:rPr>
          <w:rFonts w:ascii="Arial" w:hAnsi="Arial" w:cs="Arial"/>
          <w:sz w:val="24"/>
          <w:szCs w:val="24"/>
        </w:rPr>
      </w:pPr>
    </w:p>
    <w:p w:rsidR="003A318F" w:rsidRDefault="003A318F"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OBJETIVOS POR COMPETENCIAS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77136C" w:rsidRPr="00C47750" w:rsidTr="003D6EAC">
        <w:tc>
          <w:tcPr>
            <w:tcW w:w="8978" w:type="dxa"/>
          </w:tcPr>
          <w:p w:rsidR="006734FF" w:rsidRDefault="0077136C" w:rsidP="003D6EAC">
            <w:pPr>
              <w:spacing w:after="0" w:line="240" w:lineRule="auto"/>
              <w:rPr>
                <w:rFonts w:ascii="Arial" w:hAnsi="Arial" w:cs="Arial"/>
                <w:sz w:val="24"/>
                <w:szCs w:val="24"/>
              </w:rPr>
            </w:pPr>
            <w:r w:rsidRPr="00C47750">
              <w:rPr>
                <w:rFonts w:ascii="Arial" w:hAnsi="Arial" w:cs="Arial"/>
                <w:sz w:val="24"/>
                <w:szCs w:val="24"/>
              </w:rPr>
              <w:t>Competencias Generales</w:t>
            </w:r>
          </w:p>
          <w:p w:rsidR="006F3A84" w:rsidRDefault="006734FF" w:rsidP="003D6EAC">
            <w:pPr>
              <w:spacing w:after="0" w:line="240" w:lineRule="auto"/>
              <w:rPr>
                <w:rFonts w:ascii="Arial" w:hAnsi="Arial" w:cs="Arial"/>
                <w:sz w:val="24"/>
                <w:szCs w:val="24"/>
              </w:rPr>
            </w:pPr>
            <w:r>
              <w:rPr>
                <w:rFonts w:ascii="Arial" w:hAnsi="Arial" w:cs="Arial"/>
                <w:sz w:val="24"/>
                <w:szCs w:val="24"/>
              </w:rPr>
              <w:t xml:space="preserve">        </w:t>
            </w:r>
          </w:p>
          <w:p w:rsidR="006F3A84" w:rsidRDefault="006F3A84" w:rsidP="003D6EAC">
            <w:pPr>
              <w:spacing w:after="0" w:line="240" w:lineRule="auto"/>
              <w:rPr>
                <w:rFonts w:ascii="Arial" w:hAnsi="Arial" w:cs="Arial"/>
                <w:sz w:val="24"/>
                <w:szCs w:val="24"/>
              </w:rPr>
            </w:pPr>
          </w:p>
          <w:p w:rsidR="006734FF" w:rsidRDefault="006F3A84" w:rsidP="003D6EAC">
            <w:pPr>
              <w:spacing w:after="0" w:line="240" w:lineRule="auto"/>
              <w:rPr>
                <w:rFonts w:ascii="Arial" w:hAnsi="Arial" w:cs="Arial"/>
                <w:sz w:val="24"/>
                <w:szCs w:val="24"/>
              </w:rPr>
            </w:pPr>
            <w:r>
              <w:rPr>
                <w:rFonts w:ascii="Arial" w:hAnsi="Arial" w:cs="Arial"/>
                <w:sz w:val="24"/>
                <w:szCs w:val="24"/>
              </w:rPr>
              <w:t xml:space="preserve">       </w:t>
            </w:r>
            <w:r w:rsidR="006734FF">
              <w:rPr>
                <w:rFonts w:ascii="Arial" w:hAnsi="Arial" w:cs="Arial"/>
                <w:sz w:val="24"/>
                <w:szCs w:val="24"/>
              </w:rPr>
              <w:t>Entender a la comunicación como el fenómeno humano fun</w:t>
            </w:r>
            <w:r>
              <w:rPr>
                <w:rFonts w:ascii="Arial" w:hAnsi="Arial" w:cs="Arial"/>
                <w:sz w:val="24"/>
                <w:szCs w:val="24"/>
              </w:rPr>
              <w:t>d</w:t>
            </w:r>
            <w:r w:rsidR="006734FF">
              <w:rPr>
                <w:rFonts w:ascii="Arial" w:hAnsi="Arial" w:cs="Arial"/>
                <w:sz w:val="24"/>
                <w:szCs w:val="24"/>
              </w:rPr>
              <w:t>amental</w:t>
            </w:r>
          </w:p>
          <w:p w:rsidR="00CD11A6" w:rsidRDefault="00CD11A6" w:rsidP="003D6EAC">
            <w:pPr>
              <w:spacing w:after="0" w:line="240" w:lineRule="auto"/>
              <w:rPr>
                <w:rFonts w:ascii="Arial" w:hAnsi="Arial" w:cs="Arial"/>
                <w:sz w:val="24"/>
                <w:szCs w:val="24"/>
              </w:rPr>
            </w:pPr>
          </w:p>
          <w:p w:rsidR="00137ECF" w:rsidRPr="00C47750" w:rsidRDefault="00137ECF" w:rsidP="003D6EAC">
            <w:pPr>
              <w:spacing w:after="0" w:line="240" w:lineRule="auto"/>
              <w:rPr>
                <w:rFonts w:ascii="Arial" w:hAnsi="Arial" w:cs="Arial"/>
                <w:sz w:val="24"/>
                <w:szCs w:val="24"/>
              </w:rPr>
            </w:pPr>
          </w:p>
          <w:p w:rsidR="005E5A09" w:rsidRDefault="005E5A09" w:rsidP="00137ECF">
            <w:pPr>
              <w:numPr>
                <w:ilvl w:val="0"/>
                <w:numId w:val="1"/>
              </w:numPr>
              <w:spacing w:after="0" w:line="240" w:lineRule="auto"/>
              <w:rPr>
                <w:rFonts w:ascii="Arial" w:hAnsi="Arial" w:cs="Arial"/>
                <w:sz w:val="24"/>
                <w:szCs w:val="24"/>
              </w:rPr>
            </w:pPr>
            <w:r w:rsidRPr="005E5A09">
              <w:rPr>
                <w:rFonts w:ascii="Arial" w:hAnsi="Arial" w:cs="Arial"/>
                <w:sz w:val="24"/>
                <w:szCs w:val="24"/>
              </w:rPr>
              <w:t>Identificar los elementos que intervienen en los distintos procesos de comunicación: la comunicación humana/ comunicación social.</w:t>
            </w:r>
          </w:p>
          <w:p w:rsidR="00137ECF" w:rsidRPr="00137ECF" w:rsidRDefault="00137ECF" w:rsidP="00137ECF">
            <w:pPr>
              <w:spacing w:after="0" w:line="240" w:lineRule="auto"/>
              <w:ind w:left="720"/>
              <w:rPr>
                <w:rFonts w:ascii="Arial" w:hAnsi="Arial" w:cs="Arial"/>
                <w:sz w:val="24"/>
                <w:szCs w:val="24"/>
              </w:rPr>
            </w:pPr>
          </w:p>
          <w:p w:rsidR="005E5A09" w:rsidRDefault="005E5A09" w:rsidP="005E5A09">
            <w:pPr>
              <w:numPr>
                <w:ilvl w:val="0"/>
                <w:numId w:val="1"/>
              </w:numPr>
              <w:spacing w:after="0" w:line="240" w:lineRule="auto"/>
              <w:rPr>
                <w:rFonts w:ascii="Arial" w:hAnsi="Arial" w:cs="Arial"/>
                <w:sz w:val="24"/>
                <w:szCs w:val="24"/>
              </w:rPr>
            </w:pPr>
            <w:r w:rsidRPr="005E5A09">
              <w:rPr>
                <w:rFonts w:ascii="Arial" w:hAnsi="Arial" w:cs="Arial"/>
                <w:sz w:val="24"/>
                <w:szCs w:val="24"/>
              </w:rPr>
              <w:t>Comprender la relación entre comunicación, cultura y sociedad.</w:t>
            </w:r>
          </w:p>
          <w:p w:rsidR="004824A2" w:rsidRDefault="004824A2" w:rsidP="004824A2">
            <w:pPr>
              <w:pStyle w:val="Prrafodelista"/>
              <w:rPr>
                <w:rFonts w:ascii="Arial" w:hAnsi="Arial" w:cs="Arial"/>
                <w:sz w:val="24"/>
                <w:szCs w:val="24"/>
              </w:rPr>
            </w:pPr>
          </w:p>
          <w:p w:rsidR="004824A2" w:rsidRPr="00C47750" w:rsidRDefault="004824A2" w:rsidP="004824A2">
            <w:pPr>
              <w:numPr>
                <w:ilvl w:val="0"/>
                <w:numId w:val="1"/>
              </w:numPr>
              <w:spacing w:after="0" w:line="240" w:lineRule="auto"/>
              <w:rPr>
                <w:rFonts w:ascii="Arial" w:hAnsi="Arial" w:cs="Arial"/>
                <w:sz w:val="24"/>
                <w:szCs w:val="24"/>
              </w:rPr>
            </w:pPr>
            <w:r w:rsidRPr="004824A2">
              <w:rPr>
                <w:rFonts w:ascii="Arial" w:hAnsi="Arial" w:cs="Arial"/>
                <w:sz w:val="24"/>
                <w:szCs w:val="24"/>
              </w:rPr>
              <w:t>Conocer los presupuestos básicos de las principales teorías de la comunicación</w:t>
            </w:r>
          </w:p>
          <w:p w:rsidR="0077136C" w:rsidRPr="00C47750" w:rsidRDefault="0077136C" w:rsidP="003D6EAC">
            <w:pPr>
              <w:spacing w:after="0" w:line="240" w:lineRule="auto"/>
              <w:rPr>
                <w:rFonts w:ascii="Arial" w:hAnsi="Arial" w:cs="Arial"/>
                <w:sz w:val="24"/>
                <w:szCs w:val="24"/>
              </w:rPr>
            </w:pPr>
          </w:p>
          <w:p w:rsidR="0077136C" w:rsidRPr="00C47750" w:rsidRDefault="0077136C" w:rsidP="003D6EAC">
            <w:pPr>
              <w:spacing w:after="0" w:line="240" w:lineRule="auto"/>
              <w:rPr>
                <w:rFonts w:ascii="Arial" w:hAnsi="Arial" w:cs="Arial"/>
                <w:sz w:val="24"/>
                <w:szCs w:val="24"/>
              </w:rPr>
            </w:pPr>
            <w:r w:rsidRPr="00C47750">
              <w:rPr>
                <w:rFonts w:ascii="Arial" w:hAnsi="Arial" w:cs="Arial"/>
                <w:sz w:val="24"/>
                <w:szCs w:val="24"/>
              </w:rPr>
              <w:t>Competencias Conceptuales Específicas</w:t>
            </w:r>
          </w:p>
          <w:p w:rsidR="0077136C" w:rsidRPr="003646FB" w:rsidRDefault="00E66B6F" w:rsidP="003D6EAC">
            <w:pPr>
              <w:numPr>
                <w:ilvl w:val="0"/>
                <w:numId w:val="1"/>
              </w:numPr>
              <w:spacing w:after="0" w:line="240" w:lineRule="auto"/>
              <w:rPr>
                <w:rFonts w:ascii="Arial" w:hAnsi="Arial" w:cs="Arial"/>
                <w:sz w:val="24"/>
                <w:szCs w:val="24"/>
              </w:rPr>
            </w:pPr>
            <w:r w:rsidRPr="003646FB">
              <w:rPr>
                <w:rFonts w:ascii="Arial" w:hAnsi="Arial" w:cs="Arial"/>
                <w:sz w:val="24"/>
                <w:szCs w:val="24"/>
              </w:rPr>
              <w:t>Ejes 1 a 3</w:t>
            </w:r>
          </w:p>
          <w:p w:rsidR="0077136C" w:rsidRPr="00C47750" w:rsidRDefault="0077136C" w:rsidP="003D6EAC">
            <w:pPr>
              <w:spacing w:after="0" w:line="240" w:lineRule="auto"/>
              <w:rPr>
                <w:rFonts w:ascii="Arial" w:hAnsi="Arial" w:cs="Arial"/>
              </w:rPr>
            </w:pPr>
          </w:p>
          <w:p w:rsidR="0077136C" w:rsidRPr="00C47750" w:rsidRDefault="0077136C" w:rsidP="003D6EAC">
            <w:pPr>
              <w:spacing w:after="0" w:line="240" w:lineRule="auto"/>
              <w:rPr>
                <w:rFonts w:ascii="Arial" w:hAnsi="Arial" w:cs="Arial"/>
                <w:sz w:val="24"/>
                <w:szCs w:val="24"/>
              </w:rPr>
            </w:pPr>
            <w:r w:rsidRPr="00C47750">
              <w:rPr>
                <w:rFonts w:ascii="Arial" w:hAnsi="Arial" w:cs="Arial"/>
                <w:sz w:val="24"/>
                <w:szCs w:val="24"/>
              </w:rPr>
              <w:t>Competencias Procedimentales Específicas</w:t>
            </w:r>
          </w:p>
          <w:p w:rsidR="003646FB" w:rsidRDefault="003646FB" w:rsidP="003D6EAC">
            <w:pPr>
              <w:spacing w:after="0" w:line="240" w:lineRule="auto"/>
              <w:rPr>
                <w:rFonts w:ascii="Arial" w:hAnsi="Arial" w:cs="Arial"/>
                <w:sz w:val="24"/>
                <w:szCs w:val="24"/>
              </w:rPr>
            </w:pPr>
          </w:p>
          <w:p w:rsidR="0077136C" w:rsidRDefault="003646FB" w:rsidP="003D6EAC">
            <w:pPr>
              <w:spacing w:after="0" w:line="240" w:lineRule="auto"/>
              <w:rPr>
                <w:rFonts w:ascii="Arial" w:hAnsi="Arial" w:cs="Arial"/>
                <w:sz w:val="24"/>
                <w:szCs w:val="24"/>
              </w:rPr>
            </w:pPr>
            <w:r>
              <w:rPr>
                <w:rFonts w:ascii="Arial" w:hAnsi="Arial" w:cs="Arial"/>
                <w:sz w:val="24"/>
                <w:szCs w:val="24"/>
              </w:rPr>
              <w:t xml:space="preserve">Comprensión del complejo proceso de la comunicación y sus mediaciones. Reconocimiento de las nociones fundamentales de las principales teorías de la comunicación </w:t>
            </w:r>
          </w:p>
          <w:p w:rsidR="003646FB" w:rsidRPr="00C47750" w:rsidRDefault="003646FB" w:rsidP="003D6EAC">
            <w:pPr>
              <w:spacing w:after="0" w:line="240" w:lineRule="auto"/>
              <w:rPr>
                <w:rFonts w:ascii="Arial" w:hAnsi="Arial" w:cs="Arial"/>
                <w:sz w:val="24"/>
                <w:szCs w:val="24"/>
              </w:rPr>
            </w:pPr>
          </w:p>
          <w:p w:rsidR="0077136C" w:rsidRPr="00C47750" w:rsidRDefault="0077136C" w:rsidP="003D6EAC">
            <w:pPr>
              <w:spacing w:after="0" w:line="240" w:lineRule="auto"/>
              <w:rPr>
                <w:rFonts w:ascii="Arial" w:hAnsi="Arial" w:cs="Arial"/>
                <w:sz w:val="24"/>
                <w:szCs w:val="24"/>
              </w:rPr>
            </w:pPr>
            <w:r w:rsidRPr="00C47750">
              <w:rPr>
                <w:rFonts w:ascii="Arial" w:hAnsi="Arial" w:cs="Arial"/>
                <w:sz w:val="24"/>
                <w:szCs w:val="24"/>
              </w:rPr>
              <w:t>Competencias Actitudinales Específicas</w:t>
            </w:r>
          </w:p>
          <w:p w:rsidR="006734FF" w:rsidRPr="006734FF" w:rsidRDefault="003646FB" w:rsidP="006734FF">
            <w:pPr>
              <w:numPr>
                <w:ilvl w:val="0"/>
                <w:numId w:val="1"/>
              </w:numPr>
              <w:spacing w:after="0" w:line="240" w:lineRule="auto"/>
              <w:rPr>
                <w:rFonts w:ascii="Arial" w:hAnsi="Arial" w:cs="Arial"/>
                <w:sz w:val="24"/>
                <w:szCs w:val="24"/>
              </w:rPr>
            </w:pPr>
            <w:r>
              <w:rPr>
                <w:rFonts w:ascii="Arial" w:hAnsi="Arial" w:cs="Arial"/>
                <w:sz w:val="24"/>
                <w:szCs w:val="24"/>
              </w:rPr>
              <w:t>Contribución</w:t>
            </w:r>
            <w:r w:rsidR="006734FF" w:rsidRPr="006734FF">
              <w:rPr>
                <w:rFonts w:ascii="Arial" w:hAnsi="Arial" w:cs="Arial"/>
                <w:sz w:val="24"/>
                <w:szCs w:val="24"/>
              </w:rPr>
              <w:t xml:space="preserve"> a la mejora de la</w:t>
            </w:r>
            <w:r w:rsidR="00562312">
              <w:rPr>
                <w:rFonts w:ascii="Arial" w:hAnsi="Arial" w:cs="Arial"/>
                <w:sz w:val="24"/>
                <w:szCs w:val="24"/>
              </w:rPr>
              <w:t>s relaciones entre los</w:t>
            </w:r>
            <w:r w:rsidR="006734FF" w:rsidRPr="006734FF">
              <w:rPr>
                <w:rFonts w:ascii="Arial" w:hAnsi="Arial" w:cs="Arial"/>
                <w:sz w:val="24"/>
                <w:szCs w:val="24"/>
              </w:rPr>
              <w:t xml:space="preserve"> mi</w:t>
            </w:r>
            <w:r w:rsidR="006F3A84">
              <w:rPr>
                <w:rFonts w:ascii="Arial" w:hAnsi="Arial" w:cs="Arial"/>
                <w:sz w:val="24"/>
                <w:szCs w:val="24"/>
              </w:rPr>
              <w:t>embros de la comunidad</w:t>
            </w:r>
            <w:r>
              <w:rPr>
                <w:rFonts w:ascii="Arial" w:hAnsi="Arial" w:cs="Arial"/>
                <w:sz w:val="24"/>
                <w:szCs w:val="24"/>
              </w:rPr>
              <w:t xml:space="preserve"> y sus instituciones</w:t>
            </w:r>
          </w:p>
          <w:p w:rsidR="006734FF" w:rsidRPr="006734FF" w:rsidRDefault="00562312" w:rsidP="006734FF">
            <w:pPr>
              <w:numPr>
                <w:ilvl w:val="0"/>
                <w:numId w:val="1"/>
              </w:numPr>
              <w:spacing w:after="0" w:line="240" w:lineRule="auto"/>
              <w:rPr>
                <w:rFonts w:ascii="Arial" w:hAnsi="Arial" w:cs="Arial"/>
                <w:sz w:val="24"/>
                <w:szCs w:val="24"/>
              </w:rPr>
            </w:pPr>
            <w:r>
              <w:rPr>
                <w:rFonts w:ascii="Arial" w:hAnsi="Arial" w:cs="Arial"/>
                <w:sz w:val="24"/>
                <w:szCs w:val="24"/>
              </w:rPr>
              <w:t>Análisis y diagnóstico de diversas situaciones comunicativas</w:t>
            </w:r>
          </w:p>
          <w:p w:rsidR="006734FF" w:rsidRPr="006734FF" w:rsidRDefault="006734FF" w:rsidP="00562312">
            <w:pPr>
              <w:spacing w:after="0" w:line="240" w:lineRule="auto"/>
              <w:rPr>
                <w:rFonts w:ascii="Arial" w:hAnsi="Arial" w:cs="Arial"/>
                <w:sz w:val="24"/>
                <w:szCs w:val="24"/>
              </w:rPr>
            </w:pPr>
          </w:p>
          <w:p w:rsidR="00260C90" w:rsidRPr="00C47750" w:rsidRDefault="00260C90" w:rsidP="006734FF">
            <w:pPr>
              <w:spacing w:after="0" w:line="240" w:lineRule="auto"/>
              <w:ind w:left="360"/>
              <w:rPr>
                <w:rFonts w:ascii="Arial" w:hAnsi="Arial" w:cs="Arial"/>
                <w:sz w:val="24"/>
                <w:szCs w:val="24"/>
              </w:rPr>
            </w:pPr>
          </w:p>
          <w:p w:rsidR="0077136C" w:rsidRPr="00C47750" w:rsidRDefault="0077136C" w:rsidP="003D6EAC">
            <w:pPr>
              <w:spacing w:after="0" w:line="240" w:lineRule="auto"/>
              <w:rPr>
                <w:rFonts w:ascii="Arial" w:hAnsi="Arial" w:cs="Arial"/>
              </w:rPr>
            </w:pPr>
          </w:p>
        </w:tc>
      </w:tr>
      <w:tr w:rsidR="006F3A84" w:rsidRPr="00C47750" w:rsidTr="003D6EAC">
        <w:tc>
          <w:tcPr>
            <w:tcW w:w="8978" w:type="dxa"/>
          </w:tcPr>
          <w:p w:rsidR="006F3A84" w:rsidRPr="00C47750" w:rsidRDefault="006F3A84" w:rsidP="003D6EAC">
            <w:pPr>
              <w:spacing w:after="0" w:line="240" w:lineRule="auto"/>
              <w:rPr>
                <w:rFonts w:ascii="Arial" w:hAnsi="Arial" w:cs="Arial"/>
                <w:sz w:val="24"/>
                <w:szCs w:val="24"/>
              </w:rPr>
            </w:pPr>
          </w:p>
        </w:tc>
      </w:tr>
    </w:tbl>
    <w:p w:rsidR="003D6EAC" w:rsidRPr="00C47750" w:rsidRDefault="003D6EAC">
      <w:pPr>
        <w:rPr>
          <w:rFonts w:ascii="Arial" w:hAnsi="Arial" w:cs="Arial"/>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0A2FF0" w:rsidRPr="00C47750" w:rsidRDefault="000A2FF0" w:rsidP="000A2FF0">
      <w:pPr>
        <w:spacing w:after="0" w:line="240" w:lineRule="auto"/>
        <w:rPr>
          <w:rFonts w:ascii="Arial" w:hAnsi="Arial" w:cs="Arial"/>
          <w:b/>
          <w:sz w:val="24"/>
          <w:szCs w:val="24"/>
        </w:rPr>
      </w:pPr>
      <w:r w:rsidRPr="00C47750">
        <w:rPr>
          <w:rFonts w:ascii="Arial" w:hAnsi="Arial" w:cs="Arial"/>
          <w:b/>
          <w:sz w:val="24"/>
          <w:szCs w:val="24"/>
        </w:rPr>
        <w:t>CONTENIDOS</w:t>
      </w:r>
    </w:p>
    <w:p w:rsidR="000A2FF0" w:rsidRPr="00C47750" w:rsidRDefault="000A2FF0" w:rsidP="000A2FF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15E90" w:rsidRPr="00C47750" w:rsidTr="003D6EAC">
        <w:tc>
          <w:tcPr>
            <w:tcW w:w="8978" w:type="dxa"/>
          </w:tcPr>
          <w:p w:rsidR="00015E90" w:rsidRPr="00C47750" w:rsidRDefault="00015E90" w:rsidP="003D6EAC">
            <w:pPr>
              <w:spacing w:after="0" w:line="240" w:lineRule="auto"/>
              <w:rPr>
                <w:rFonts w:ascii="Arial" w:hAnsi="Arial" w:cs="Arial"/>
                <w:b/>
                <w:bCs/>
              </w:rPr>
            </w:pPr>
          </w:p>
          <w:p w:rsidR="007068AA" w:rsidRDefault="007068AA" w:rsidP="007068AA">
            <w:pPr>
              <w:spacing w:after="0" w:line="240" w:lineRule="auto"/>
              <w:rPr>
                <w:rFonts w:ascii="Arial" w:hAnsi="Arial" w:cs="Arial"/>
                <w:b/>
                <w:szCs w:val="24"/>
              </w:rPr>
            </w:pPr>
            <w:r>
              <w:rPr>
                <w:rFonts w:ascii="Arial" w:hAnsi="Arial" w:cs="Arial"/>
                <w:b/>
                <w:bCs/>
                <w:sz w:val="24"/>
                <w:szCs w:val="24"/>
              </w:rPr>
              <w:t xml:space="preserve">MÓDULO I: </w:t>
            </w:r>
            <w:r w:rsidRPr="007068AA">
              <w:rPr>
                <w:rFonts w:ascii="Arial" w:hAnsi="Arial" w:cs="Arial"/>
                <w:b/>
                <w:szCs w:val="24"/>
              </w:rPr>
              <w:t>Cultura y comunicación</w:t>
            </w:r>
          </w:p>
          <w:p w:rsidR="005A7989" w:rsidRDefault="005A7989" w:rsidP="007068AA">
            <w:pPr>
              <w:spacing w:after="0" w:line="240" w:lineRule="auto"/>
              <w:rPr>
                <w:rFonts w:ascii="Arial" w:hAnsi="Arial" w:cs="Arial"/>
                <w:b/>
                <w:szCs w:val="24"/>
              </w:rPr>
            </w:pPr>
          </w:p>
          <w:p w:rsidR="005A7989" w:rsidRPr="007068AA" w:rsidRDefault="005A7989" w:rsidP="007068AA">
            <w:pPr>
              <w:spacing w:after="0" w:line="240" w:lineRule="auto"/>
              <w:rPr>
                <w:rFonts w:ascii="Arial" w:hAnsi="Arial" w:cs="Arial"/>
                <w:b/>
                <w:szCs w:val="24"/>
              </w:rPr>
            </w:pPr>
          </w:p>
          <w:p w:rsidR="007068AA" w:rsidRPr="005A7989" w:rsidRDefault="005A7989" w:rsidP="007068AA">
            <w:pPr>
              <w:spacing w:after="0" w:line="240" w:lineRule="auto"/>
              <w:rPr>
                <w:rFonts w:ascii="Arial" w:hAnsi="Arial" w:cs="Arial"/>
                <w:szCs w:val="24"/>
              </w:rPr>
            </w:pPr>
            <w:r w:rsidRPr="005A7989">
              <w:rPr>
                <w:rFonts w:ascii="Arial" w:hAnsi="Arial" w:cs="Arial"/>
                <w:szCs w:val="24"/>
              </w:rPr>
              <w:t xml:space="preserve">Comunicación, cultura y </w:t>
            </w:r>
            <w:proofErr w:type="spellStart"/>
            <w:r w:rsidRPr="005A7989">
              <w:rPr>
                <w:rFonts w:ascii="Arial" w:hAnsi="Arial" w:cs="Arial"/>
                <w:szCs w:val="24"/>
              </w:rPr>
              <w:t>socialidad</w:t>
            </w:r>
            <w:proofErr w:type="spellEnd"/>
            <w:r w:rsidRPr="005A7989">
              <w:rPr>
                <w:rFonts w:ascii="Arial" w:hAnsi="Arial" w:cs="Arial"/>
                <w:szCs w:val="24"/>
              </w:rPr>
              <w:t>.  El pensamiento: una actividad simbólica. Concepto de signo.</w:t>
            </w:r>
            <w:r w:rsidR="005857F9">
              <w:rPr>
                <w:rFonts w:ascii="Arial" w:hAnsi="Arial" w:cs="Arial"/>
                <w:szCs w:val="24"/>
              </w:rPr>
              <w:t xml:space="preserve"> Los códigos.</w:t>
            </w:r>
            <w:r w:rsidRPr="005A7989">
              <w:rPr>
                <w:rFonts w:ascii="Arial" w:hAnsi="Arial" w:cs="Arial"/>
                <w:szCs w:val="24"/>
              </w:rPr>
              <w:t xml:space="preserve"> Los </w:t>
            </w:r>
            <w:proofErr w:type="spellStart"/>
            <w:r w:rsidRPr="005A7989">
              <w:rPr>
                <w:rFonts w:ascii="Arial" w:hAnsi="Arial" w:cs="Arial"/>
                <w:szCs w:val="24"/>
              </w:rPr>
              <w:t>lenguajes.Las</w:t>
            </w:r>
            <w:proofErr w:type="spellEnd"/>
            <w:r w:rsidRPr="005A7989">
              <w:rPr>
                <w:rFonts w:ascii="Arial" w:hAnsi="Arial" w:cs="Arial"/>
                <w:szCs w:val="24"/>
              </w:rPr>
              <w:t xml:space="preserve"> extensiones de la cultura. La dimensión técnica. Los umbrales de la cultura</w:t>
            </w:r>
          </w:p>
          <w:p w:rsidR="00015E90" w:rsidRPr="007068AA" w:rsidRDefault="002E7585" w:rsidP="003D6EAC">
            <w:pPr>
              <w:spacing w:after="0" w:line="240" w:lineRule="auto"/>
              <w:rPr>
                <w:rFonts w:ascii="Arial" w:hAnsi="Arial" w:cs="Arial"/>
                <w:sz w:val="24"/>
                <w:szCs w:val="24"/>
              </w:rPr>
            </w:pPr>
            <w:r>
              <w:rPr>
                <w:rFonts w:ascii="Arial" w:hAnsi="Arial" w:cs="Arial"/>
                <w:szCs w:val="24"/>
              </w:rPr>
              <w:t xml:space="preserve"> </w:t>
            </w:r>
          </w:p>
          <w:p w:rsidR="00015E90" w:rsidRDefault="008E5B5E" w:rsidP="003D6EAC">
            <w:pPr>
              <w:spacing w:after="0" w:line="240" w:lineRule="auto"/>
              <w:rPr>
                <w:rFonts w:ascii="Arial" w:hAnsi="Arial" w:cs="Arial"/>
                <w:b/>
                <w:sz w:val="24"/>
                <w:szCs w:val="24"/>
                <w:u w:val="single"/>
              </w:rPr>
            </w:pPr>
            <w:r>
              <w:rPr>
                <w:rFonts w:ascii="Arial" w:hAnsi="Arial" w:cs="Arial"/>
                <w:b/>
                <w:sz w:val="24"/>
                <w:szCs w:val="24"/>
                <w:u w:val="single"/>
              </w:rPr>
              <w:t>BIBLIOGRAFÍA</w:t>
            </w:r>
          </w:p>
          <w:p w:rsidR="008E5B5E" w:rsidRDefault="008E5B5E" w:rsidP="003D6EAC">
            <w:pPr>
              <w:spacing w:after="0" w:line="240" w:lineRule="auto"/>
              <w:rPr>
                <w:rFonts w:ascii="Arial" w:hAnsi="Arial" w:cs="Arial"/>
                <w:b/>
                <w:sz w:val="24"/>
                <w:szCs w:val="24"/>
                <w:u w:val="single"/>
              </w:rPr>
            </w:pPr>
          </w:p>
          <w:p w:rsidR="008E5B5E" w:rsidRPr="005E738B" w:rsidRDefault="008E5B5E" w:rsidP="008E5B5E">
            <w:pPr>
              <w:rPr>
                <w:sz w:val="24"/>
                <w:szCs w:val="24"/>
              </w:rPr>
            </w:pPr>
            <w:proofErr w:type="spellStart"/>
            <w:r w:rsidRPr="008E5B5E">
              <w:rPr>
                <w:sz w:val="24"/>
                <w:szCs w:val="24"/>
              </w:rPr>
              <w:t>Cassirer</w:t>
            </w:r>
            <w:proofErr w:type="spellEnd"/>
            <w:r w:rsidR="005E738B">
              <w:rPr>
                <w:sz w:val="24"/>
                <w:szCs w:val="24"/>
              </w:rPr>
              <w:t xml:space="preserve">, </w:t>
            </w:r>
            <w:r w:rsidRPr="005E738B">
              <w:rPr>
                <w:sz w:val="24"/>
                <w:szCs w:val="24"/>
              </w:rPr>
              <w:t>E</w:t>
            </w:r>
            <w:r w:rsidRPr="008E5B5E">
              <w:rPr>
                <w:sz w:val="24"/>
                <w:szCs w:val="24"/>
              </w:rPr>
              <w:t>.</w:t>
            </w:r>
            <w:r w:rsidRPr="005E738B">
              <w:rPr>
                <w:sz w:val="24"/>
                <w:szCs w:val="24"/>
              </w:rPr>
              <w:t xml:space="preserve"> (1977)</w:t>
            </w:r>
            <w:r w:rsidRPr="008E5B5E">
              <w:rPr>
                <w:sz w:val="24"/>
                <w:szCs w:val="24"/>
              </w:rPr>
              <w:t xml:space="preserve"> </w:t>
            </w:r>
            <w:r w:rsidRPr="008E5B5E">
              <w:rPr>
                <w:i/>
                <w:sz w:val="24"/>
                <w:szCs w:val="24"/>
              </w:rPr>
              <w:t>El hombre como animal simbólico</w:t>
            </w:r>
            <w:r w:rsidRPr="008E5B5E">
              <w:rPr>
                <w:sz w:val="24"/>
                <w:szCs w:val="24"/>
              </w:rPr>
              <w:t xml:space="preserve"> en </w:t>
            </w:r>
            <w:r w:rsidR="005E738B">
              <w:rPr>
                <w:i/>
                <w:sz w:val="24"/>
                <w:szCs w:val="24"/>
              </w:rPr>
              <w:t>Antropología Filosó</w:t>
            </w:r>
            <w:r w:rsidRPr="008E5B5E">
              <w:rPr>
                <w:i/>
                <w:sz w:val="24"/>
                <w:szCs w:val="24"/>
              </w:rPr>
              <w:t>fica</w:t>
            </w:r>
            <w:r w:rsidRPr="005E738B">
              <w:rPr>
                <w:sz w:val="24"/>
                <w:szCs w:val="24"/>
              </w:rPr>
              <w:t xml:space="preserve">. </w:t>
            </w:r>
            <w:r w:rsidR="005E738B">
              <w:rPr>
                <w:sz w:val="24"/>
                <w:szCs w:val="24"/>
              </w:rPr>
              <w:t>Mé</w:t>
            </w:r>
            <w:r w:rsidRPr="005E738B">
              <w:rPr>
                <w:sz w:val="24"/>
                <w:szCs w:val="24"/>
              </w:rPr>
              <w:t>xico:</w:t>
            </w:r>
          </w:p>
          <w:p w:rsidR="008E5B5E" w:rsidRPr="005E738B" w:rsidRDefault="008E5B5E" w:rsidP="008E5B5E">
            <w:pPr>
              <w:rPr>
                <w:sz w:val="24"/>
                <w:szCs w:val="24"/>
              </w:rPr>
            </w:pPr>
            <w:r w:rsidRPr="005E738B">
              <w:rPr>
                <w:sz w:val="24"/>
                <w:szCs w:val="24"/>
              </w:rPr>
              <w:t>Fondo Cultura.</w:t>
            </w:r>
          </w:p>
          <w:p w:rsidR="00015E90" w:rsidRPr="005E738B" w:rsidRDefault="008E5B5E" w:rsidP="005F6B57">
            <w:pPr>
              <w:rPr>
                <w:sz w:val="24"/>
                <w:szCs w:val="24"/>
              </w:rPr>
            </w:pPr>
            <w:r w:rsidRPr="005E738B">
              <w:rPr>
                <w:sz w:val="24"/>
                <w:szCs w:val="24"/>
              </w:rPr>
              <w:lastRenderedPageBreak/>
              <w:t xml:space="preserve">Eco, U. (1977) </w:t>
            </w:r>
            <w:r w:rsidRPr="005E738B">
              <w:rPr>
                <w:i/>
                <w:sz w:val="24"/>
                <w:szCs w:val="24"/>
              </w:rPr>
              <w:t xml:space="preserve">Los umbrales de la semiótica </w:t>
            </w:r>
            <w:r w:rsidRPr="005E738B">
              <w:rPr>
                <w:sz w:val="24"/>
                <w:szCs w:val="24"/>
              </w:rPr>
              <w:t xml:space="preserve">en </w:t>
            </w:r>
            <w:r w:rsidRPr="005E738B">
              <w:rPr>
                <w:i/>
                <w:sz w:val="24"/>
                <w:szCs w:val="24"/>
              </w:rPr>
              <w:t>La estructura ausente</w:t>
            </w:r>
            <w:r w:rsidRPr="005E738B">
              <w:rPr>
                <w:sz w:val="24"/>
                <w:szCs w:val="24"/>
              </w:rPr>
              <w:t>. Barcelona:</w:t>
            </w:r>
            <w:r w:rsidR="005F6B57" w:rsidRPr="005E738B">
              <w:rPr>
                <w:sz w:val="24"/>
                <w:szCs w:val="24"/>
              </w:rPr>
              <w:t xml:space="preserve"> Lumen.</w:t>
            </w:r>
          </w:p>
          <w:p w:rsidR="005F6B57" w:rsidRPr="005E738B" w:rsidRDefault="00202FAD" w:rsidP="005F6B57">
            <w:pPr>
              <w:rPr>
                <w:sz w:val="24"/>
                <w:szCs w:val="24"/>
              </w:rPr>
            </w:pPr>
            <w:proofErr w:type="spellStart"/>
            <w:r w:rsidRPr="005E738B">
              <w:rPr>
                <w:sz w:val="24"/>
                <w:szCs w:val="24"/>
              </w:rPr>
              <w:t>Lotman</w:t>
            </w:r>
            <w:proofErr w:type="spellEnd"/>
            <w:r w:rsidRPr="005E738B">
              <w:rPr>
                <w:sz w:val="24"/>
                <w:szCs w:val="24"/>
              </w:rPr>
              <w:t>, Y</w:t>
            </w:r>
            <w:r w:rsidR="00B27C4C">
              <w:rPr>
                <w:sz w:val="24"/>
                <w:szCs w:val="24"/>
              </w:rPr>
              <w:t>.</w:t>
            </w:r>
            <w:r w:rsidRPr="005E738B">
              <w:rPr>
                <w:sz w:val="24"/>
                <w:szCs w:val="24"/>
              </w:rPr>
              <w:t xml:space="preserve"> (1993</w:t>
            </w:r>
            <w:r w:rsidR="005F6B57" w:rsidRPr="005E738B">
              <w:rPr>
                <w:sz w:val="24"/>
                <w:szCs w:val="24"/>
              </w:rPr>
              <w:t xml:space="preserve">) </w:t>
            </w:r>
            <w:r w:rsidR="005F6B57" w:rsidRPr="00B27C4C">
              <w:rPr>
                <w:i/>
                <w:sz w:val="24"/>
                <w:szCs w:val="24"/>
              </w:rPr>
              <w:t xml:space="preserve">La </w:t>
            </w:r>
            <w:proofErr w:type="spellStart"/>
            <w:r w:rsidR="005F6B57" w:rsidRPr="00B27C4C">
              <w:rPr>
                <w:i/>
                <w:sz w:val="24"/>
                <w:szCs w:val="24"/>
              </w:rPr>
              <w:t>semiósfera</w:t>
            </w:r>
            <w:proofErr w:type="spellEnd"/>
            <w:r w:rsidR="005F6B57" w:rsidRPr="005E738B">
              <w:rPr>
                <w:sz w:val="24"/>
                <w:szCs w:val="24"/>
              </w:rPr>
              <w:t>.</w:t>
            </w:r>
            <w:r w:rsidRPr="005E738B">
              <w:rPr>
                <w:sz w:val="24"/>
                <w:szCs w:val="24"/>
              </w:rPr>
              <w:t xml:space="preserve"> Valencia: </w:t>
            </w:r>
            <w:proofErr w:type="spellStart"/>
            <w:r w:rsidRPr="005E738B">
              <w:rPr>
                <w:sz w:val="24"/>
                <w:szCs w:val="24"/>
              </w:rPr>
              <w:t>Fronesis</w:t>
            </w:r>
            <w:proofErr w:type="spellEnd"/>
            <w:r w:rsidRPr="005E738B">
              <w:rPr>
                <w:sz w:val="24"/>
                <w:szCs w:val="24"/>
              </w:rPr>
              <w:t>.</w:t>
            </w:r>
          </w:p>
          <w:p w:rsidR="003D6EAC" w:rsidRDefault="003D6EAC" w:rsidP="003D6EAC">
            <w:pPr>
              <w:spacing w:after="0" w:line="240" w:lineRule="auto"/>
              <w:rPr>
                <w:rFonts w:asciiTheme="minorHAnsi" w:hAnsiTheme="minorHAnsi" w:cstheme="minorHAnsi"/>
                <w:sz w:val="24"/>
                <w:szCs w:val="24"/>
              </w:rPr>
            </w:pPr>
            <w:r w:rsidRPr="005E738B">
              <w:rPr>
                <w:rFonts w:asciiTheme="minorHAnsi" w:hAnsiTheme="minorHAnsi" w:cstheme="minorHAnsi"/>
                <w:sz w:val="24"/>
                <w:szCs w:val="24"/>
              </w:rPr>
              <w:t xml:space="preserve">Reguillo, R. (2000). </w:t>
            </w:r>
            <w:r w:rsidRPr="005E738B">
              <w:rPr>
                <w:rFonts w:asciiTheme="minorHAnsi" w:hAnsiTheme="minorHAnsi" w:cstheme="minorHAnsi"/>
                <w:i/>
                <w:sz w:val="24"/>
                <w:szCs w:val="24"/>
              </w:rPr>
              <w:t>Emergencia de las culturas juveniles</w:t>
            </w:r>
            <w:r w:rsidRPr="005E738B">
              <w:rPr>
                <w:rFonts w:asciiTheme="minorHAnsi" w:hAnsiTheme="minorHAnsi" w:cstheme="minorHAnsi"/>
                <w:sz w:val="24"/>
                <w:szCs w:val="24"/>
              </w:rPr>
              <w:t xml:space="preserve">. </w:t>
            </w:r>
            <w:r w:rsidRPr="005E738B">
              <w:rPr>
                <w:rFonts w:asciiTheme="minorHAnsi" w:hAnsiTheme="minorHAnsi" w:cstheme="minorHAnsi"/>
                <w:i/>
                <w:sz w:val="24"/>
                <w:szCs w:val="24"/>
              </w:rPr>
              <w:t xml:space="preserve">Estrategias del desencanto. </w:t>
            </w:r>
            <w:r w:rsidR="008E5B5E" w:rsidRPr="005E738B">
              <w:rPr>
                <w:rFonts w:asciiTheme="minorHAnsi" w:hAnsiTheme="minorHAnsi" w:cstheme="minorHAnsi"/>
                <w:sz w:val="24"/>
                <w:szCs w:val="24"/>
              </w:rPr>
              <w:t>Buenos Aires: Norma.</w:t>
            </w:r>
          </w:p>
          <w:p w:rsidR="0065158A" w:rsidRDefault="0065158A" w:rsidP="003D6EAC">
            <w:pPr>
              <w:spacing w:after="0" w:line="240" w:lineRule="auto"/>
              <w:rPr>
                <w:rFonts w:asciiTheme="minorHAnsi" w:hAnsiTheme="minorHAnsi" w:cstheme="minorHAnsi"/>
                <w:sz w:val="24"/>
                <w:szCs w:val="24"/>
              </w:rPr>
            </w:pPr>
          </w:p>
          <w:p w:rsidR="00197DD0" w:rsidRPr="00C47750" w:rsidRDefault="0065158A" w:rsidP="0065158A">
            <w:pPr>
              <w:rPr>
                <w:rFonts w:ascii="Arial" w:hAnsi="Arial" w:cs="Arial"/>
                <w:sz w:val="24"/>
                <w:szCs w:val="24"/>
              </w:rPr>
            </w:pPr>
            <w:r w:rsidRPr="0065158A">
              <w:t>Martín Serrano, M. (2007). Teoría de la Comunicación – La Comunicación, la vida y la sociedad. Madrid: Mc Graw-Hill / Interamericana de España.</w:t>
            </w:r>
          </w:p>
          <w:p w:rsidR="00015E90" w:rsidRPr="00C47750" w:rsidRDefault="00015E90" w:rsidP="003D6EAC">
            <w:pPr>
              <w:spacing w:after="0" w:line="240" w:lineRule="auto"/>
              <w:rPr>
                <w:rFonts w:ascii="Arial" w:hAnsi="Arial" w:cs="Arial"/>
                <w:sz w:val="24"/>
                <w:szCs w:val="24"/>
              </w:rPr>
            </w:pPr>
          </w:p>
          <w:p w:rsidR="00260C90" w:rsidRPr="00C47750" w:rsidRDefault="00015E90" w:rsidP="00260C90">
            <w:pPr>
              <w:spacing w:after="0" w:line="240" w:lineRule="auto"/>
              <w:rPr>
                <w:rFonts w:ascii="Arial" w:hAnsi="Arial" w:cs="Arial"/>
                <w:sz w:val="24"/>
                <w:szCs w:val="24"/>
              </w:rPr>
            </w:pPr>
            <w:r w:rsidRPr="00C47750">
              <w:rPr>
                <w:rFonts w:ascii="Arial" w:hAnsi="Arial" w:cs="Arial"/>
                <w:b/>
                <w:bCs/>
                <w:sz w:val="24"/>
                <w:szCs w:val="24"/>
              </w:rPr>
              <w:t xml:space="preserve">MÓDULO II: </w:t>
            </w:r>
            <w:r w:rsidR="005857F9">
              <w:rPr>
                <w:rFonts w:ascii="Arial" w:hAnsi="Arial" w:cs="Arial"/>
                <w:b/>
                <w:bCs/>
                <w:sz w:val="24"/>
                <w:szCs w:val="24"/>
              </w:rPr>
              <w:t>Tipologías de la comunicación</w:t>
            </w:r>
            <w:r w:rsidR="00260C90" w:rsidRPr="00C47750">
              <w:rPr>
                <w:rFonts w:ascii="Arial" w:hAnsi="Arial" w:cs="Arial"/>
                <w:sz w:val="24"/>
                <w:szCs w:val="24"/>
              </w:rPr>
              <w:br/>
            </w:r>
          </w:p>
          <w:p w:rsidR="00260C90" w:rsidRPr="005857F9" w:rsidRDefault="000001E6" w:rsidP="00260C90">
            <w:pPr>
              <w:spacing w:after="0" w:line="240" w:lineRule="auto"/>
              <w:rPr>
                <w:rFonts w:ascii="Arial" w:hAnsi="Arial" w:cs="Arial"/>
              </w:rPr>
            </w:pPr>
            <w:r>
              <w:rPr>
                <w:rFonts w:ascii="Arial" w:hAnsi="Arial" w:cs="Arial"/>
              </w:rPr>
              <w:t xml:space="preserve">Esquematizaciones del proceso comunicativo. </w:t>
            </w:r>
            <w:r w:rsidR="00E27F5B">
              <w:rPr>
                <w:rFonts w:ascii="Arial" w:hAnsi="Arial" w:cs="Arial"/>
              </w:rPr>
              <w:t xml:space="preserve">El modelo de </w:t>
            </w:r>
            <w:proofErr w:type="spellStart"/>
            <w:r w:rsidR="00E27F5B">
              <w:rPr>
                <w:rFonts w:ascii="Arial" w:hAnsi="Arial" w:cs="Arial"/>
              </w:rPr>
              <w:t>Laswell</w:t>
            </w:r>
            <w:proofErr w:type="spellEnd"/>
            <w:r w:rsidR="00E27F5B">
              <w:rPr>
                <w:rFonts w:ascii="Arial" w:hAnsi="Arial" w:cs="Arial"/>
              </w:rPr>
              <w:t>. El</w:t>
            </w:r>
            <w:r w:rsidR="005F6B57" w:rsidRPr="005857F9">
              <w:rPr>
                <w:rFonts w:ascii="Arial" w:hAnsi="Arial" w:cs="Arial"/>
              </w:rPr>
              <w:t xml:space="preserve"> mode</w:t>
            </w:r>
            <w:r w:rsidR="00E27F5B">
              <w:rPr>
                <w:rFonts w:ascii="Arial" w:hAnsi="Arial" w:cs="Arial"/>
              </w:rPr>
              <w:t>lo matemático y sus críticas.</w:t>
            </w:r>
            <w:r>
              <w:rPr>
                <w:rFonts w:ascii="Arial" w:hAnsi="Arial" w:cs="Arial"/>
              </w:rPr>
              <w:t xml:space="preserve"> </w:t>
            </w:r>
            <w:r w:rsidRPr="000001E6">
              <w:rPr>
                <w:rFonts w:ascii="Arial" w:hAnsi="Arial" w:cs="Arial"/>
              </w:rPr>
              <w:t>La comunicación oral.</w:t>
            </w:r>
            <w:r w:rsidR="00E27F5B">
              <w:rPr>
                <w:rFonts w:ascii="Arial" w:hAnsi="Arial" w:cs="Arial"/>
              </w:rPr>
              <w:t xml:space="preserve"> La comunicación no verbal.</w:t>
            </w:r>
          </w:p>
          <w:p w:rsidR="00015E90" w:rsidRPr="005857F9" w:rsidRDefault="00015E90" w:rsidP="003D6EAC">
            <w:pPr>
              <w:spacing w:after="0" w:line="240" w:lineRule="auto"/>
              <w:rPr>
                <w:rFonts w:ascii="Arial" w:hAnsi="Arial" w:cs="Arial"/>
              </w:rPr>
            </w:pPr>
          </w:p>
          <w:p w:rsidR="00015E90" w:rsidRPr="00C47750" w:rsidRDefault="00015E90" w:rsidP="003D6EAC">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015E90" w:rsidRPr="00C47750" w:rsidRDefault="00015E90" w:rsidP="003D6EAC">
            <w:pPr>
              <w:spacing w:after="0" w:line="240" w:lineRule="auto"/>
              <w:rPr>
                <w:rFonts w:ascii="Arial" w:hAnsi="Arial" w:cs="Arial"/>
                <w:sz w:val="24"/>
                <w:szCs w:val="24"/>
              </w:rPr>
            </w:pPr>
          </w:p>
          <w:p w:rsidR="00967A32" w:rsidRDefault="00967A32" w:rsidP="00967A32">
            <w:r w:rsidRPr="00967A32">
              <w:t xml:space="preserve">De </w:t>
            </w:r>
            <w:proofErr w:type="spellStart"/>
            <w:proofErr w:type="gramStart"/>
            <w:r w:rsidRPr="00967A32">
              <w:t>Fleur</w:t>
            </w:r>
            <w:proofErr w:type="spellEnd"/>
            <w:r w:rsidRPr="00967A32">
              <w:t xml:space="preserve"> </w:t>
            </w:r>
            <w:r>
              <w:t>,</w:t>
            </w:r>
            <w:r w:rsidRPr="00967A32">
              <w:t>M</w:t>
            </w:r>
            <w:proofErr w:type="gramEnd"/>
            <w:r>
              <w:t>.</w:t>
            </w:r>
            <w:r w:rsidRPr="00967A32">
              <w:t xml:space="preserve"> y </w:t>
            </w:r>
            <w:proofErr w:type="spellStart"/>
            <w:r w:rsidRPr="00967A32">
              <w:t>Ball</w:t>
            </w:r>
            <w:proofErr w:type="spellEnd"/>
            <w:r w:rsidRPr="00967A32">
              <w:t xml:space="preserve"> </w:t>
            </w:r>
            <w:proofErr w:type="spellStart"/>
            <w:r w:rsidRPr="00967A32">
              <w:t>Rokeach</w:t>
            </w:r>
            <w:proofErr w:type="spellEnd"/>
            <w:r>
              <w:t>,</w:t>
            </w:r>
            <w:r w:rsidRPr="00967A32">
              <w:t xml:space="preserve"> S</w:t>
            </w:r>
            <w:r>
              <w:t>.(1982)</w:t>
            </w:r>
            <w:r w:rsidR="00D625DD">
              <w:t>.</w:t>
            </w:r>
            <w:r w:rsidRPr="00967A32">
              <w:t xml:space="preserve"> </w:t>
            </w:r>
            <w:r w:rsidR="00D625DD">
              <w:rPr>
                <w:i/>
              </w:rPr>
              <w:t>Teorí</w:t>
            </w:r>
            <w:r w:rsidRPr="00967A32">
              <w:rPr>
                <w:i/>
              </w:rPr>
              <w:t>as de la comunicación de masas</w:t>
            </w:r>
            <w:r w:rsidRPr="00967A32">
              <w:t>. Paidó</w:t>
            </w:r>
            <w:r w:rsidR="00D625DD">
              <w:t>s.</w:t>
            </w:r>
          </w:p>
          <w:p w:rsidR="00D625DD" w:rsidRPr="00D625DD" w:rsidRDefault="00D625DD" w:rsidP="00D625DD">
            <w:r w:rsidRPr="00D625DD">
              <w:t>Shannon, C</w:t>
            </w:r>
            <w:r>
              <w:t>.</w:t>
            </w:r>
            <w:r w:rsidRPr="00D625DD">
              <w:t xml:space="preserve"> y </w:t>
            </w:r>
            <w:proofErr w:type="spellStart"/>
            <w:r w:rsidRPr="00D625DD">
              <w:t>Weaver</w:t>
            </w:r>
            <w:proofErr w:type="spellEnd"/>
            <w:r w:rsidRPr="00D625DD">
              <w:t>, W</w:t>
            </w:r>
            <w:r>
              <w:t>.</w:t>
            </w:r>
            <w:r w:rsidRPr="00D625DD">
              <w:t xml:space="preserve"> </w:t>
            </w:r>
            <w:r>
              <w:t>(1981.)</w:t>
            </w:r>
            <w:r w:rsidRPr="00D625DD">
              <w:rPr>
                <w:i/>
              </w:rPr>
              <w:t>Teoría Matemática de la información.</w:t>
            </w:r>
            <w:r w:rsidRPr="00D625DD">
              <w:t xml:space="preserve"> Madr</w:t>
            </w:r>
            <w:r>
              <w:t>id:</w:t>
            </w:r>
          </w:p>
          <w:p w:rsidR="00D625DD" w:rsidRDefault="00D625DD" w:rsidP="00D625DD">
            <w:r>
              <w:t>Forja.</w:t>
            </w:r>
          </w:p>
          <w:p w:rsidR="00D625DD" w:rsidRPr="00D625DD" w:rsidRDefault="00D625DD" w:rsidP="00D625DD">
            <w:r w:rsidRPr="00D625DD">
              <w:t>Jakobson</w:t>
            </w:r>
            <w:r>
              <w:t>,</w:t>
            </w:r>
            <w:r w:rsidRPr="00D625DD">
              <w:t xml:space="preserve"> R</w:t>
            </w:r>
            <w:r>
              <w:t>. (1975).</w:t>
            </w:r>
            <w:r w:rsidRPr="00D625DD">
              <w:t xml:space="preserve"> </w:t>
            </w:r>
            <w:r w:rsidRPr="00D625DD">
              <w:rPr>
                <w:i/>
              </w:rPr>
              <w:t>La Lingüística y la Teoría de la Comunicación</w:t>
            </w:r>
            <w:r w:rsidRPr="00D625DD">
              <w:t xml:space="preserve"> en </w:t>
            </w:r>
            <w:r w:rsidRPr="00D625DD">
              <w:rPr>
                <w:i/>
              </w:rPr>
              <w:t>Ensayos sobre lingüística general</w:t>
            </w:r>
            <w:r>
              <w:t xml:space="preserve">, </w:t>
            </w:r>
            <w:proofErr w:type="spellStart"/>
            <w:r w:rsidRPr="00D625DD">
              <w:t>Seix</w:t>
            </w:r>
            <w:proofErr w:type="spellEnd"/>
            <w:r w:rsidRPr="00D625DD">
              <w:t xml:space="preserve"> Barral:</w:t>
            </w:r>
            <w:r>
              <w:t xml:space="preserve"> Barcelona</w:t>
            </w:r>
            <w:r w:rsidR="00D414D2">
              <w:t>.</w:t>
            </w:r>
          </w:p>
          <w:p w:rsidR="00B27C4C" w:rsidRDefault="00B27C4C" w:rsidP="00B27C4C">
            <w:r>
              <w:t xml:space="preserve">Fernández de la </w:t>
            </w:r>
            <w:proofErr w:type="spellStart"/>
            <w:r>
              <w:t>Torriente</w:t>
            </w:r>
            <w:proofErr w:type="spellEnd"/>
            <w:r>
              <w:t xml:space="preserve">, G. (1990). </w:t>
            </w:r>
            <w:r w:rsidRPr="00B27C4C">
              <w:rPr>
                <w:i/>
              </w:rPr>
              <w:t xml:space="preserve">Comunicación </w:t>
            </w:r>
            <w:proofErr w:type="gramStart"/>
            <w:r w:rsidRPr="00B27C4C">
              <w:rPr>
                <w:i/>
              </w:rPr>
              <w:t>Oral</w:t>
            </w:r>
            <w:r>
              <w:t xml:space="preserve"> .</w:t>
            </w:r>
            <w:proofErr w:type="gramEnd"/>
            <w:r>
              <w:t xml:space="preserve"> Bogotá: Norma.</w:t>
            </w:r>
          </w:p>
          <w:p w:rsidR="00015E90" w:rsidRPr="00AC3DF8" w:rsidRDefault="00E37158" w:rsidP="00AC3DF8">
            <w:pPr>
              <w:rPr>
                <w:i/>
              </w:rPr>
            </w:pPr>
            <w:proofErr w:type="spellStart"/>
            <w:r>
              <w:t>Fast</w:t>
            </w:r>
            <w:proofErr w:type="spellEnd"/>
            <w:r>
              <w:t>, J.  (</w:t>
            </w:r>
            <w:r w:rsidRPr="00E37158">
              <w:t>1995</w:t>
            </w:r>
            <w:r>
              <w:t>)</w:t>
            </w:r>
            <w:r w:rsidRPr="00E37158">
              <w:t>.</w:t>
            </w:r>
            <w:r w:rsidRPr="00E37158">
              <w:rPr>
                <w:i/>
              </w:rPr>
              <w:t>El Lenguaje del Cuerpo</w:t>
            </w:r>
            <w:r>
              <w:rPr>
                <w:i/>
              </w:rPr>
              <w:t>. Madrid: América Ibérica.</w:t>
            </w:r>
          </w:p>
          <w:p w:rsidR="00AC3DF8" w:rsidRDefault="00AC3DF8" w:rsidP="00260C90">
            <w:pPr>
              <w:spacing w:after="0" w:line="240" w:lineRule="auto"/>
              <w:rPr>
                <w:rFonts w:ascii="Arial" w:hAnsi="Arial" w:cs="Arial"/>
                <w:b/>
                <w:bCs/>
                <w:sz w:val="24"/>
                <w:szCs w:val="24"/>
              </w:rPr>
            </w:pPr>
          </w:p>
          <w:p w:rsidR="00260C90" w:rsidRPr="00C47750" w:rsidRDefault="00015E90" w:rsidP="00260C90">
            <w:pPr>
              <w:spacing w:after="0" w:line="240" w:lineRule="auto"/>
              <w:rPr>
                <w:rFonts w:ascii="Arial" w:hAnsi="Arial" w:cs="Arial"/>
                <w:sz w:val="24"/>
                <w:szCs w:val="24"/>
              </w:rPr>
            </w:pPr>
            <w:r w:rsidRPr="00C47750">
              <w:rPr>
                <w:rFonts w:ascii="Arial" w:hAnsi="Arial" w:cs="Arial"/>
                <w:b/>
                <w:bCs/>
                <w:sz w:val="24"/>
                <w:szCs w:val="24"/>
              </w:rPr>
              <w:t xml:space="preserve">MÓDULO III: </w:t>
            </w:r>
            <w:r w:rsidR="00D414D2">
              <w:rPr>
                <w:rFonts w:ascii="Arial" w:hAnsi="Arial" w:cs="Arial"/>
                <w:b/>
                <w:bCs/>
                <w:sz w:val="24"/>
                <w:szCs w:val="24"/>
              </w:rPr>
              <w:t>Principales Teorías de la Comunicación. Núcleos conceptuales</w:t>
            </w:r>
            <w:r w:rsidR="00260C90" w:rsidRPr="00C47750">
              <w:rPr>
                <w:rFonts w:ascii="Arial" w:hAnsi="Arial" w:cs="Arial"/>
                <w:sz w:val="24"/>
                <w:szCs w:val="24"/>
              </w:rPr>
              <w:br/>
            </w:r>
          </w:p>
          <w:p w:rsidR="006A2E18" w:rsidRPr="006A2E18" w:rsidRDefault="006A2E18" w:rsidP="006A2E18">
            <w:pPr>
              <w:spacing w:after="0" w:line="240" w:lineRule="auto"/>
              <w:rPr>
                <w:rFonts w:ascii="Arial Narrow" w:eastAsia="Times New Roman" w:hAnsi="Arial Narrow"/>
                <w:sz w:val="24"/>
                <w:szCs w:val="24"/>
                <w:lang w:val="es-ES" w:eastAsia="es-ES"/>
              </w:rPr>
            </w:pPr>
            <w:r w:rsidRPr="006A2E18">
              <w:rPr>
                <w:rFonts w:ascii="Arial Narrow" w:eastAsia="Times New Roman" w:hAnsi="Arial Narrow"/>
                <w:sz w:val="24"/>
                <w:szCs w:val="24"/>
                <w:lang w:val="es-ES" w:eastAsia="es-ES"/>
              </w:rPr>
              <w:t xml:space="preserve">Sociedad de masas, cultura de masas y medios masivos. Las primeras teorías de los medios masivos: </w:t>
            </w:r>
            <w:proofErr w:type="spellStart"/>
            <w:r w:rsidRPr="006A2E18">
              <w:rPr>
                <w:rFonts w:ascii="Arial Narrow" w:eastAsia="Times New Roman" w:hAnsi="Arial Narrow"/>
                <w:sz w:val="24"/>
                <w:szCs w:val="24"/>
                <w:lang w:val="es-ES" w:eastAsia="es-ES"/>
              </w:rPr>
              <w:t>Mass</w:t>
            </w:r>
            <w:proofErr w:type="spellEnd"/>
            <w:r w:rsidRPr="006A2E18">
              <w:rPr>
                <w:rFonts w:ascii="Arial Narrow" w:eastAsia="Times New Roman" w:hAnsi="Arial Narrow"/>
                <w:sz w:val="24"/>
                <w:szCs w:val="24"/>
                <w:lang w:val="es-ES" w:eastAsia="es-ES"/>
              </w:rPr>
              <w:t xml:space="preserve"> </w:t>
            </w:r>
            <w:proofErr w:type="spellStart"/>
            <w:r w:rsidRPr="006A2E18">
              <w:rPr>
                <w:rFonts w:ascii="Arial Narrow" w:eastAsia="Times New Roman" w:hAnsi="Arial Narrow"/>
                <w:sz w:val="24"/>
                <w:szCs w:val="24"/>
                <w:lang w:val="es-ES" w:eastAsia="es-ES"/>
              </w:rPr>
              <w:t>Comunication</w:t>
            </w:r>
            <w:proofErr w:type="spellEnd"/>
            <w:r w:rsidRPr="006A2E18">
              <w:rPr>
                <w:rFonts w:ascii="Arial Narrow" w:eastAsia="Times New Roman" w:hAnsi="Arial Narrow"/>
                <w:sz w:val="24"/>
                <w:szCs w:val="24"/>
                <w:lang w:val="es-ES" w:eastAsia="es-ES"/>
              </w:rPr>
              <w:t xml:space="preserve"> </w:t>
            </w:r>
            <w:proofErr w:type="spellStart"/>
            <w:r w:rsidRPr="006A2E18">
              <w:rPr>
                <w:rFonts w:ascii="Arial Narrow" w:eastAsia="Times New Roman" w:hAnsi="Arial Narrow"/>
                <w:sz w:val="24"/>
                <w:szCs w:val="24"/>
                <w:lang w:val="es-ES" w:eastAsia="es-ES"/>
              </w:rPr>
              <w:t>Research</w:t>
            </w:r>
            <w:proofErr w:type="spellEnd"/>
            <w:r w:rsidRPr="006A2E18">
              <w:rPr>
                <w:rFonts w:ascii="Arial Narrow" w:eastAsia="Times New Roman" w:hAnsi="Arial Narrow"/>
                <w:sz w:val="24"/>
                <w:szCs w:val="24"/>
                <w:lang w:val="es-ES" w:eastAsia="es-ES"/>
              </w:rPr>
              <w:t xml:space="preserve"> y Teoría Crítica. Las reformulaciones de los Estudios Culturales. Las  implicancias políticas de las teorías. La información como mercancía o bien público.</w:t>
            </w:r>
          </w:p>
          <w:p w:rsidR="006A2E18" w:rsidRPr="00485CAD" w:rsidRDefault="00485CAD" w:rsidP="006A2E18">
            <w:pPr>
              <w:spacing w:after="0" w:line="240" w:lineRule="auto"/>
              <w:rPr>
                <w:rFonts w:ascii="Arial Narrow" w:eastAsia="Times New Roman" w:hAnsi="Arial Narrow"/>
                <w:sz w:val="24"/>
                <w:szCs w:val="24"/>
                <w:lang w:val="es-ES" w:eastAsia="es-ES"/>
              </w:rPr>
            </w:pPr>
            <w:r w:rsidRPr="00485CAD">
              <w:rPr>
                <w:rFonts w:ascii="Arial Narrow" w:eastAsia="Times New Roman" w:hAnsi="Arial Narrow"/>
                <w:sz w:val="24"/>
                <w:szCs w:val="24"/>
                <w:lang w:val="es-ES" w:eastAsia="es-ES"/>
              </w:rPr>
              <w:t xml:space="preserve">Problemas actuales: tecnologías digitales y nuevas formas de manipulación. </w:t>
            </w:r>
          </w:p>
          <w:p w:rsidR="00015E90" w:rsidRPr="00C47750" w:rsidRDefault="00015E90" w:rsidP="003D6EAC">
            <w:pPr>
              <w:spacing w:after="0" w:line="240" w:lineRule="auto"/>
              <w:rPr>
                <w:rFonts w:ascii="Arial" w:hAnsi="Arial" w:cs="Arial"/>
                <w:sz w:val="24"/>
                <w:szCs w:val="24"/>
              </w:rPr>
            </w:pPr>
          </w:p>
          <w:p w:rsidR="00015E90" w:rsidRPr="00C47750" w:rsidRDefault="00015E90" w:rsidP="003D6EAC">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015E90" w:rsidRPr="00C47750" w:rsidRDefault="00015E90" w:rsidP="003D6EAC">
            <w:pPr>
              <w:tabs>
                <w:tab w:val="left" w:pos="2070"/>
              </w:tabs>
              <w:spacing w:after="0" w:line="240" w:lineRule="auto"/>
              <w:rPr>
                <w:rFonts w:ascii="Arial" w:hAnsi="Arial" w:cs="Arial"/>
                <w:sz w:val="24"/>
                <w:szCs w:val="24"/>
              </w:rPr>
            </w:pPr>
            <w:r w:rsidRPr="00C47750">
              <w:rPr>
                <w:rFonts w:ascii="Arial" w:hAnsi="Arial" w:cs="Arial"/>
                <w:sz w:val="24"/>
                <w:szCs w:val="24"/>
              </w:rPr>
              <w:tab/>
            </w:r>
          </w:p>
          <w:p w:rsidR="00307895" w:rsidRDefault="00307895" w:rsidP="00307895">
            <w:pPr>
              <w:spacing w:after="0" w:line="240" w:lineRule="auto"/>
              <w:rPr>
                <w:rFonts w:asciiTheme="minorHAnsi" w:eastAsia="Times New Roman" w:hAnsiTheme="minorHAnsi" w:cstheme="minorHAnsi"/>
                <w:lang w:val="es-ES" w:eastAsia="es-ES"/>
              </w:rPr>
            </w:pPr>
            <w:proofErr w:type="spellStart"/>
            <w:r w:rsidRPr="006D6C59">
              <w:rPr>
                <w:rFonts w:asciiTheme="minorHAnsi" w:eastAsia="Times New Roman" w:hAnsiTheme="minorHAnsi" w:cstheme="minorHAnsi"/>
                <w:lang w:val="es-ES" w:eastAsia="es-ES"/>
              </w:rPr>
              <w:t>Laswell</w:t>
            </w:r>
            <w:proofErr w:type="spellEnd"/>
            <w:r w:rsidR="00485CAD" w:rsidRPr="006D6C59">
              <w:rPr>
                <w:rFonts w:asciiTheme="minorHAnsi" w:eastAsia="Times New Roman" w:hAnsiTheme="minorHAnsi" w:cstheme="minorHAnsi"/>
                <w:lang w:val="es-ES" w:eastAsia="es-ES"/>
              </w:rPr>
              <w:t>, H. (1985)</w:t>
            </w:r>
            <w:r w:rsidRPr="006D6C59">
              <w:rPr>
                <w:rFonts w:asciiTheme="minorHAnsi" w:eastAsia="Times New Roman" w:hAnsiTheme="minorHAnsi" w:cstheme="minorHAnsi"/>
                <w:lang w:val="es-ES" w:eastAsia="es-ES"/>
              </w:rPr>
              <w:t xml:space="preserve"> </w:t>
            </w:r>
            <w:r w:rsidRPr="006D6C59">
              <w:rPr>
                <w:rFonts w:asciiTheme="minorHAnsi" w:eastAsia="Times New Roman" w:hAnsiTheme="minorHAnsi" w:cstheme="minorHAnsi"/>
                <w:i/>
                <w:lang w:val="es-ES" w:eastAsia="es-ES"/>
              </w:rPr>
              <w:t>Estructura y función de los medios en la sociedad</w:t>
            </w:r>
            <w:r w:rsidRPr="006D6C59">
              <w:rPr>
                <w:rFonts w:asciiTheme="minorHAnsi" w:eastAsia="Times New Roman" w:hAnsiTheme="minorHAnsi" w:cstheme="minorHAnsi"/>
                <w:lang w:val="es-ES" w:eastAsia="es-ES"/>
              </w:rPr>
              <w:t xml:space="preserve">, en Moragas </w:t>
            </w:r>
            <w:proofErr w:type="spellStart"/>
            <w:r w:rsidRPr="006D6C59">
              <w:rPr>
                <w:rFonts w:asciiTheme="minorHAnsi" w:eastAsia="Times New Roman" w:hAnsiTheme="minorHAnsi" w:cstheme="minorHAnsi"/>
                <w:lang w:val="es-ES" w:eastAsia="es-ES"/>
              </w:rPr>
              <w:t>Spà</w:t>
            </w:r>
            <w:proofErr w:type="spellEnd"/>
            <w:r w:rsidRPr="006D6C59">
              <w:rPr>
                <w:rFonts w:asciiTheme="minorHAnsi" w:eastAsia="Times New Roman" w:hAnsiTheme="minorHAnsi" w:cstheme="minorHAnsi"/>
                <w:lang w:val="es-ES" w:eastAsia="es-ES"/>
              </w:rPr>
              <w:t xml:space="preserve">. </w:t>
            </w:r>
            <w:proofErr w:type="spellStart"/>
            <w:r w:rsidRPr="006D6C59">
              <w:rPr>
                <w:rFonts w:asciiTheme="minorHAnsi" w:eastAsia="Times New Roman" w:hAnsiTheme="minorHAnsi" w:cstheme="minorHAnsi"/>
                <w:i/>
                <w:lang w:val="es-ES" w:eastAsia="es-ES"/>
              </w:rPr>
              <w:t>Sociologìa</w:t>
            </w:r>
            <w:proofErr w:type="spellEnd"/>
            <w:r w:rsidRPr="006D6C59">
              <w:rPr>
                <w:rFonts w:asciiTheme="minorHAnsi" w:eastAsia="Times New Roman" w:hAnsiTheme="minorHAnsi" w:cstheme="minorHAnsi"/>
                <w:i/>
                <w:lang w:val="es-ES" w:eastAsia="es-ES"/>
              </w:rPr>
              <w:t xml:space="preserve"> de la comunicación de masas</w:t>
            </w:r>
            <w:r w:rsidRPr="006D6C59">
              <w:rPr>
                <w:rFonts w:asciiTheme="minorHAnsi" w:eastAsia="Times New Roman" w:hAnsiTheme="minorHAnsi" w:cstheme="minorHAnsi"/>
                <w:lang w:val="es-ES" w:eastAsia="es-ES"/>
              </w:rPr>
              <w:t xml:space="preserve">. </w:t>
            </w:r>
            <w:r w:rsidR="00485CAD" w:rsidRPr="006D6C59">
              <w:rPr>
                <w:rFonts w:asciiTheme="minorHAnsi" w:eastAsia="Times New Roman" w:hAnsiTheme="minorHAnsi" w:cstheme="minorHAnsi"/>
                <w:lang w:val="es-ES" w:eastAsia="es-ES"/>
              </w:rPr>
              <w:t xml:space="preserve">GG: </w:t>
            </w:r>
            <w:r w:rsidRPr="006D6C59">
              <w:rPr>
                <w:rFonts w:asciiTheme="minorHAnsi" w:eastAsia="Times New Roman" w:hAnsiTheme="minorHAnsi" w:cstheme="minorHAnsi"/>
                <w:lang w:val="es-ES" w:eastAsia="es-ES"/>
              </w:rPr>
              <w:t>Barcel</w:t>
            </w:r>
            <w:r w:rsidR="00485CAD" w:rsidRPr="006D6C59">
              <w:rPr>
                <w:rFonts w:asciiTheme="minorHAnsi" w:eastAsia="Times New Roman" w:hAnsiTheme="minorHAnsi" w:cstheme="minorHAnsi"/>
                <w:lang w:val="es-ES" w:eastAsia="es-ES"/>
              </w:rPr>
              <w:t>ona.</w:t>
            </w:r>
          </w:p>
          <w:p w:rsidR="006D6C59" w:rsidRPr="006D6C59" w:rsidRDefault="006D6C59" w:rsidP="00307895">
            <w:pPr>
              <w:spacing w:after="0" w:line="240" w:lineRule="auto"/>
              <w:rPr>
                <w:rFonts w:asciiTheme="minorHAnsi" w:eastAsia="Times New Roman" w:hAnsiTheme="minorHAnsi" w:cstheme="minorHAnsi"/>
                <w:lang w:val="es-ES" w:eastAsia="es-ES"/>
              </w:rPr>
            </w:pPr>
          </w:p>
          <w:p w:rsidR="00307895" w:rsidRDefault="00307895" w:rsidP="00307895">
            <w:pPr>
              <w:spacing w:after="0" w:line="240" w:lineRule="auto"/>
              <w:rPr>
                <w:rFonts w:asciiTheme="minorHAnsi" w:eastAsia="Times New Roman" w:hAnsiTheme="minorHAnsi" w:cstheme="minorHAnsi"/>
                <w:lang w:val="es-ES" w:eastAsia="es-ES"/>
              </w:rPr>
            </w:pPr>
            <w:proofErr w:type="spellStart"/>
            <w:r w:rsidRPr="006D6C59">
              <w:rPr>
                <w:rFonts w:asciiTheme="minorHAnsi" w:eastAsia="Times New Roman" w:hAnsiTheme="minorHAnsi" w:cstheme="minorHAnsi"/>
                <w:lang w:val="es-ES" w:eastAsia="es-ES"/>
              </w:rPr>
              <w:t>Horkheimer</w:t>
            </w:r>
            <w:proofErr w:type="spellEnd"/>
            <w:r w:rsidR="00485CAD" w:rsidRPr="006D6C59">
              <w:rPr>
                <w:rFonts w:asciiTheme="minorHAnsi" w:eastAsia="Times New Roman" w:hAnsiTheme="minorHAnsi" w:cstheme="minorHAnsi"/>
                <w:lang w:val="es-ES" w:eastAsia="es-ES"/>
              </w:rPr>
              <w:t>,</w:t>
            </w:r>
            <w:r w:rsidRPr="006D6C59">
              <w:rPr>
                <w:rFonts w:asciiTheme="minorHAnsi" w:eastAsia="Times New Roman" w:hAnsiTheme="minorHAnsi" w:cstheme="minorHAnsi"/>
                <w:lang w:val="es-ES" w:eastAsia="es-ES"/>
              </w:rPr>
              <w:t xml:space="preserve"> M</w:t>
            </w:r>
            <w:r w:rsidR="00485CAD" w:rsidRPr="006D6C59">
              <w:rPr>
                <w:rFonts w:asciiTheme="minorHAnsi" w:eastAsia="Times New Roman" w:hAnsiTheme="minorHAnsi" w:cstheme="minorHAnsi"/>
                <w:lang w:val="es-ES" w:eastAsia="es-ES"/>
              </w:rPr>
              <w:t>.</w:t>
            </w:r>
            <w:r w:rsidRPr="006D6C59">
              <w:rPr>
                <w:rFonts w:asciiTheme="minorHAnsi" w:eastAsia="Times New Roman" w:hAnsiTheme="minorHAnsi" w:cstheme="minorHAnsi"/>
                <w:lang w:val="es-ES" w:eastAsia="es-ES"/>
              </w:rPr>
              <w:t xml:space="preserve"> y Adorno Th.</w:t>
            </w:r>
            <w:r w:rsidR="00485CAD" w:rsidRPr="006D6C59">
              <w:rPr>
                <w:rFonts w:asciiTheme="minorHAnsi" w:eastAsia="Times New Roman" w:hAnsiTheme="minorHAnsi" w:cstheme="minorHAnsi"/>
                <w:lang w:val="es-ES" w:eastAsia="es-ES"/>
              </w:rPr>
              <w:t xml:space="preserve"> (1986)</w:t>
            </w:r>
            <w:r w:rsidRPr="006D6C59">
              <w:rPr>
                <w:rFonts w:asciiTheme="minorHAnsi" w:eastAsia="Times New Roman" w:hAnsiTheme="minorHAnsi" w:cstheme="minorHAnsi"/>
                <w:lang w:val="es-ES" w:eastAsia="es-ES"/>
              </w:rPr>
              <w:t xml:space="preserve"> </w:t>
            </w:r>
            <w:r w:rsidRPr="006D6C59">
              <w:rPr>
                <w:rFonts w:asciiTheme="minorHAnsi" w:eastAsia="Times New Roman" w:hAnsiTheme="minorHAnsi" w:cstheme="minorHAnsi"/>
                <w:i/>
                <w:lang w:val="es-ES" w:eastAsia="es-ES"/>
              </w:rPr>
              <w:t>La industria de la cultura como engaño de las masas</w:t>
            </w:r>
            <w:r w:rsidRPr="006D6C59">
              <w:rPr>
                <w:rFonts w:asciiTheme="minorHAnsi" w:eastAsia="Times New Roman" w:hAnsiTheme="minorHAnsi" w:cstheme="minorHAnsi"/>
                <w:lang w:val="es-ES" w:eastAsia="es-ES"/>
              </w:rPr>
              <w:t xml:space="preserve"> en Curran J.  </w:t>
            </w:r>
            <w:r w:rsidRPr="006D6C59">
              <w:rPr>
                <w:rFonts w:asciiTheme="minorHAnsi" w:eastAsia="Times New Roman" w:hAnsiTheme="minorHAnsi" w:cstheme="minorHAnsi"/>
                <w:i/>
                <w:lang w:val="es-ES" w:eastAsia="es-ES"/>
              </w:rPr>
              <w:t>Sociedad y comunicación de masas</w:t>
            </w:r>
            <w:r w:rsidR="00485CAD" w:rsidRPr="006D6C59">
              <w:rPr>
                <w:rFonts w:asciiTheme="minorHAnsi" w:eastAsia="Times New Roman" w:hAnsiTheme="minorHAnsi" w:cstheme="minorHAnsi"/>
                <w:lang w:val="es-ES" w:eastAsia="es-ES"/>
              </w:rPr>
              <w:t>. México: FCE.</w:t>
            </w:r>
          </w:p>
          <w:p w:rsidR="006D6C59" w:rsidRPr="006D6C59" w:rsidRDefault="006D6C59" w:rsidP="00307895">
            <w:pPr>
              <w:spacing w:after="0" w:line="240" w:lineRule="auto"/>
              <w:rPr>
                <w:rFonts w:asciiTheme="minorHAnsi" w:eastAsia="Times New Roman" w:hAnsiTheme="minorHAnsi" w:cstheme="minorHAnsi"/>
                <w:lang w:val="es-ES" w:eastAsia="es-ES"/>
              </w:rPr>
            </w:pPr>
          </w:p>
          <w:p w:rsidR="00307895" w:rsidRDefault="00485CAD" w:rsidP="00307895">
            <w:pPr>
              <w:spacing w:after="0" w:line="240" w:lineRule="auto"/>
              <w:rPr>
                <w:rFonts w:asciiTheme="minorHAnsi" w:eastAsia="Times New Roman" w:hAnsiTheme="minorHAnsi" w:cstheme="minorHAnsi"/>
                <w:lang w:val="es-ES" w:eastAsia="es-ES"/>
              </w:rPr>
            </w:pPr>
            <w:proofErr w:type="spellStart"/>
            <w:r w:rsidRPr="006D6C59">
              <w:rPr>
                <w:rFonts w:asciiTheme="minorHAnsi" w:eastAsia="Times New Roman" w:hAnsiTheme="minorHAnsi" w:cstheme="minorHAnsi"/>
                <w:lang w:val="es-ES" w:eastAsia="es-ES"/>
              </w:rPr>
              <w:t>Hal</w:t>
            </w:r>
            <w:proofErr w:type="spellEnd"/>
            <w:r w:rsidRPr="006D6C59">
              <w:rPr>
                <w:rFonts w:asciiTheme="minorHAnsi" w:eastAsia="Times New Roman" w:hAnsiTheme="minorHAnsi" w:cstheme="minorHAnsi"/>
                <w:lang w:val="es-ES" w:eastAsia="es-ES"/>
              </w:rPr>
              <w:t>, S</w:t>
            </w:r>
            <w:r w:rsidR="00307895" w:rsidRPr="006D6C59">
              <w:rPr>
                <w:rFonts w:asciiTheme="minorHAnsi" w:eastAsia="Times New Roman" w:hAnsiTheme="minorHAnsi" w:cstheme="minorHAnsi"/>
                <w:lang w:val="es-ES" w:eastAsia="es-ES"/>
              </w:rPr>
              <w:t xml:space="preserve">. </w:t>
            </w:r>
            <w:r w:rsidRPr="006D6C59">
              <w:rPr>
                <w:rFonts w:asciiTheme="minorHAnsi" w:eastAsia="Times New Roman" w:hAnsiTheme="minorHAnsi" w:cstheme="minorHAnsi"/>
                <w:lang w:val="es-ES" w:eastAsia="es-ES"/>
              </w:rPr>
              <w:t xml:space="preserve">(1984) </w:t>
            </w:r>
            <w:r w:rsidR="00307895" w:rsidRPr="006D6C59">
              <w:rPr>
                <w:rFonts w:asciiTheme="minorHAnsi" w:eastAsia="Times New Roman" w:hAnsiTheme="minorHAnsi" w:cstheme="minorHAnsi"/>
                <w:i/>
                <w:lang w:val="es-ES" w:eastAsia="es-ES"/>
              </w:rPr>
              <w:t>Notas sobre la deconstrucción de lo popular</w:t>
            </w:r>
            <w:r w:rsidRPr="006D6C59">
              <w:rPr>
                <w:rFonts w:asciiTheme="minorHAnsi" w:eastAsia="Times New Roman" w:hAnsiTheme="minorHAnsi" w:cstheme="minorHAnsi"/>
                <w:lang w:val="es-ES" w:eastAsia="es-ES"/>
              </w:rPr>
              <w:t>. Barcelona: Crítica</w:t>
            </w:r>
          </w:p>
          <w:p w:rsidR="006D6C59" w:rsidRPr="006D6C59" w:rsidRDefault="006D6C59" w:rsidP="00307895">
            <w:pPr>
              <w:spacing w:after="0" w:line="240" w:lineRule="auto"/>
              <w:rPr>
                <w:rFonts w:asciiTheme="minorHAnsi" w:eastAsia="Times New Roman" w:hAnsiTheme="minorHAnsi" w:cstheme="minorHAnsi"/>
                <w:lang w:eastAsia="es-ES"/>
              </w:rPr>
            </w:pPr>
          </w:p>
          <w:p w:rsidR="00307895" w:rsidRPr="006D6C59" w:rsidRDefault="004A481C" w:rsidP="00307895">
            <w:pPr>
              <w:spacing w:after="0" w:line="240" w:lineRule="auto"/>
              <w:rPr>
                <w:rFonts w:asciiTheme="minorHAnsi" w:eastAsia="Times New Roman" w:hAnsiTheme="minorHAnsi" w:cstheme="minorHAnsi"/>
                <w:lang w:val="es-ES" w:eastAsia="es-ES"/>
              </w:rPr>
            </w:pPr>
            <w:proofErr w:type="spellStart"/>
            <w:r w:rsidRPr="006D6C59">
              <w:rPr>
                <w:rFonts w:asciiTheme="minorHAnsi" w:eastAsia="Times New Roman" w:hAnsiTheme="minorHAnsi" w:cstheme="minorHAnsi"/>
                <w:lang w:val="es-ES" w:eastAsia="es-ES"/>
              </w:rPr>
              <w:t>Biyung</w:t>
            </w:r>
            <w:proofErr w:type="spellEnd"/>
            <w:r w:rsidRPr="006D6C59">
              <w:rPr>
                <w:rFonts w:asciiTheme="minorHAnsi" w:eastAsia="Times New Roman" w:hAnsiTheme="minorHAnsi" w:cstheme="minorHAnsi"/>
                <w:lang w:val="es-ES" w:eastAsia="es-ES"/>
              </w:rPr>
              <w:t>-</w:t>
            </w:r>
            <w:proofErr w:type="spellStart"/>
            <w:r w:rsidRPr="006D6C59">
              <w:rPr>
                <w:rFonts w:asciiTheme="minorHAnsi" w:eastAsia="Times New Roman" w:hAnsiTheme="minorHAnsi" w:cstheme="minorHAnsi"/>
                <w:lang w:val="es-ES" w:eastAsia="es-ES"/>
              </w:rPr>
              <w:t>Chul</w:t>
            </w:r>
            <w:proofErr w:type="spellEnd"/>
            <w:r w:rsidRPr="006D6C59">
              <w:rPr>
                <w:rFonts w:asciiTheme="minorHAnsi" w:eastAsia="Times New Roman" w:hAnsiTheme="minorHAnsi" w:cstheme="minorHAnsi"/>
                <w:lang w:val="es-ES" w:eastAsia="es-ES"/>
              </w:rPr>
              <w:t>-Han (2014). Neoliberalismo y nuevas técnicas de poder. Herder: Barcelona.</w:t>
            </w:r>
          </w:p>
          <w:p w:rsidR="004A481C" w:rsidRPr="006D6C59" w:rsidRDefault="004A481C" w:rsidP="00307895">
            <w:pPr>
              <w:spacing w:after="0" w:line="240" w:lineRule="auto"/>
              <w:rPr>
                <w:rFonts w:asciiTheme="minorHAnsi" w:eastAsia="Times New Roman" w:hAnsiTheme="minorHAnsi" w:cstheme="minorHAnsi"/>
                <w:lang w:val="es-ES" w:eastAsia="es-ES"/>
              </w:rPr>
            </w:pPr>
            <w:proofErr w:type="spellStart"/>
            <w:r w:rsidRPr="006D6C59">
              <w:rPr>
                <w:rFonts w:asciiTheme="minorHAnsi" w:eastAsia="Times New Roman" w:hAnsiTheme="minorHAnsi" w:cstheme="minorHAnsi"/>
                <w:lang w:val="es-ES" w:eastAsia="es-ES"/>
              </w:rPr>
              <w:lastRenderedPageBreak/>
              <w:t>Postman</w:t>
            </w:r>
            <w:proofErr w:type="spellEnd"/>
            <w:r w:rsidRPr="006D6C59">
              <w:rPr>
                <w:rFonts w:asciiTheme="minorHAnsi" w:eastAsia="Times New Roman" w:hAnsiTheme="minorHAnsi" w:cstheme="minorHAnsi"/>
                <w:lang w:val="es-ES" w:eastAsia="es-ES"/>
              </w:rPr>
              <w:t xml:space="preserve"> N. </w:t>
            </w:r>
            <w:r w:rsidRPr="006D6C59">
              <w:rPr>
                <w:rFonts w:asciiTheme="minorHAnsi" w:eastAsia="Times New Roman" w:hAnsiTheme="minorHAnsi" w:cstheme="minorHAnsi"/>
                <w:i/>
                <w:lang w:val="es-ES" w:eastAsia="es-ES"/>
              </w:rPr>
              <w:t>Las cinco advertencias sobre el cambio tecnológico.</w:t>
            </w:r>
            <w:r w:rsidRPr="006D6C59">
              <w:rPr>
                <w:rFonts w:asciiTheme="minorHAnsi" w:eastAsia="Times New Roman" w:hAnsiTheme="minorHAnsi" w:cstheme="minorHAnsi"/>
                <w:lang w:val="es-ES" w:eastAsia="es-ES"/>
              </w:rPr>
              <w:t xml:space="preserve"> </w:t>
            </w:r>
            <w:hyperlink r:id="rId8" w:history="1">
              <w:r w:rsidRPr="006D6C59">
                <w:rPr>
                  <w:rStyle w:val="Hipervnculo"/>
                  <w:rFonts w:asciiTheme="minorHAnsi" w:eastAsia="Times New Roman" w:hAnsiTheme="minorHAnsi" w:cstheme="minorHAnsi"/>
                  <w:lang w:val="es-ES" w:eastAsia="es-ES"/>
                </w:rPr>
                <w:t>http://www.angelfire.com/folk/celtiberia/neilpostman.html</w:t>
              </w:r>
            </w:hyperlink>
            <w:r w:rsidRPr="006D6C59">
              <w:rPr>
                <w:rFonts w:asciiTheme="minorHAnsi" w:eastAsia="Times New Roman" w:hAnsiTheme="minorHAnsi" w:cstheme="minorHAnsi"/>
                <w:lang w:val="es-ES" w:eastAsia="es-ES"/>
              </w:rPr>
              <w:t>. Recuperado el 10/03/18.</w:t>
            </w:r>
          </w:p>
          <w:p w:rsidR="00485CAD" w:rsidRPr="006D6C59" w:rsidRDefault="00485CAD" w:rsidP="00307895">
            <w:pPr>
              <w:spacing w:after="0" w:line="240" w:lineRule="auto"/>
              <w:rPr>
                <w:rFonts w:asciiTheme="minorHAnsi" w:eastAsia="Times New Roman" w:hAnsiTheme="minorHAnsi" w:cstheme="minorHAnsi"/>
                <w:lang w:val="es-ES" w:eastAsia="es-ES"/>
              </w:rPr>
            </w:pPr>
          </w:p>
          <w:p w:rsidR="00260C90" w:rsidRPr="00C47750" w:rsidRDefault="00260C90" w:rsidP="00260C90">
            <w:pPr>
              <w:spacing w:after="0" w:line="240" w:lineRule="auto"/>
              <w:rPr>
                <w:rFonts w:ascii="Arial" w:hAnsi="Arial" w:cs="Arial"/>
                <w:sz w:val="24"/>
                <w:szCs w:val="24"/>
              </w:rPr>
            </w:pPr>
          </w:p>
          <w:p w:rsidR="00015E90" w:rsidRPr="00C47750" w:rsidRDefault="00015E90" w:rsidP="003D6EAC">
            <w:pPr>
              <w:spacing w:after="0" w:line="240" w:lineRule="auto"/>
              <w:rPr>
                <w:rFonts w:ascii="Arial" w:hAnsi="Arial" w:cs="Arial"/>
              </w:rPr>
            </w:pPr>
          </w:p>
        </w:tc>
      </w:tr>
    </w:tbl>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sectPr w:rsidR="00015E90" w:rsidRPr="00C47750" w:rsidSect="00C47750">
          <w:headerReference w:type="default" r:id="rId9"/>
          <w:footerReference w:type="default" r:id="rId10"/>
          <w:headerReference w:type="first" r:id="rId11"/>
          <w:pgSz w:w="12240" w:h="15840"/>
          <w:pgMar w:top="851" w:right="1701" w:bottom="567" w:left="1701" w:header="708" w:footer="708" w:gutter="0"/>
          <w:cols w:space="708"/>
          <w:titlePg/>
          <w:docGrid w:linePitch="360"/>
        </w:sect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BIBLIOGRAFÍA COMPLEMENTARIA</w:t>
      </w:r>
    </w:p>
    <w:p w:rsidR="00015E90" w:rsidRPr="00C47750" w:rsidRDefault="00015E90" w:rsidP="00015E90">
      <w:pPr>
        <w:spacing w:after="0"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015E90" w:rsidRPr="00C47750" w:rsidTr="003D6EAC">
        <w:tc>
          <w:tcPr>
            <w:tcW w:w="8978" w:type="dxa"/>
          </w:tcPr>
          <w:p w:rsidR="006D6C59" w:rsidRPr="006D6C59" w:rsidRDefault="009D74F6" w:rsidP="006D6C59">
            <w:proofErr w:type="spellStart"/>
            <w:r>
              <w:t>Pasquallli</w:t>
            </w:r>
            <w:proofErr w:type="spellEnd"/>
            <w:r w:rsidR="006D6C59" w:rsidRPr="006D6C59">
              <w:t xml:space="preserve">, A. (1990): </w:t>
            </w:r>
            <w:r w:rsidR="006D6C59" w:rsidRPr="006D6C59">
              <w:rPr>
                <w:i/>
              </w:rPr>
              <w:t>Comprender la comunicación</w:t>
            </w:r>
            <w:r w:rsidR="006D6C59" w:rsidRPr="006D6C59">
              <w:t xml:space="preserve">. Caracas: Monte </w:t>
            </w:r>
            <w:proofErr w:type="spellStart"/>
            <w:r w:rsidR="006D6C59" w:rsidRPr="006D6C59">
              <w:t>Avila</w:t>
            </w:r>
            <w:proofErr w:type="spellEnd"/>
          </w:p>
          <w:p w:rsidR="006D6C59" w:rsidRPr="006D6C59" w:rsidRDefault="006D6C59" w:rsidP="006D6C59">
            <w:proofErr w:type="spellStart"/>
            <w:r w:rsidRPr="006D6C59">
              <w:t>Abatenaga</w:t>
            </w:r>
            <w:proofErr w:type="spellEnd"/>
            <w:r w:rsidRPr="006D6C59">
              <w:t xml:space="preserve">, N. (2011). </w:t>
            </w:r>
            <w:r w:rsidRPr="006D6C59">
              <w:rPr>
                <w:i/>
              </w:rPr>
              <w:t>Teoría de la Comunicación Social</w:t>
            </w:r>
            <w:r w:rsidRPr="006D6C59">
              <w:t xml:space="preserve">. Buenos Aires: Universidad Nacional del </w:t>
            </w:r>
            <w:proofErr w:type="spellStart"/>
            <w:r w:rsidRPr="006D6C59">
              <w:t>Norderste</w:t>
            </w:r>
            <w:proofErr w:type="spellEnd"/>
            <w:r w:rsidRPr="006D6C59">
              <w:t>.</w:t>
            </w:r>
          </w:p>
          <w:p w:rsidR="006D6C59" w:rsidRPr="006D6C59" w:rsidRDefault="006D6C59" w:rsidP="006D6C59">
            <w:proofErr w:type="spellStart"/>
            <w:r w:rsidRPr="006D6C59">
              <w:t>Algarra</w:t>
            </w:r>
            <w:proofErr w:type="spellEnd"/>
            <w:r w:rsidRPr="006D6C59">
              <w:t xml:space="preserve">, M. M. (2009). </w:t>
            </w:r>
            <w:r w:rsidRPr="006D6C59">
              <w:rPr>
                <w:i/>
              </w:rPr>
              <w:t>La Comunicación como objeto de estudio de la teoría de la</w:t>
            </w:r>
            <w:r w:rsidR="009D74F6" w:rsidRPr="009D74F6">
              <w:rPr>
                <w:i/>
              </w:rPr>
              <w:t xml:space="preserve"> comunicación</w:t>
            </w:r>
            <w:r w:rsidR="009D74F6">
              <w:t>. Análisis</w:t>
            </w:r>
          </w:p>
          <w:p w:rsidR="006D6C59" w:rsidRPr="006D6C59" w:rsidRDefault="006D6C59" w:rsidP="006D6C59">
            <w:proofErr w:type="spellStart"/>
            <w:r w:rsidRPr="006D6C59">
              <w:t>Alvargonzález</w:t>
            </w:r>
            <w:proofErr w:type="spellEnd"/>
            <w:r w:rsidRPr="006D6C59">
              <w:t xml:space="preserve">, D. (2003). </w:t>
            </w:r>
            <w:r w:rsidRPr="006D6C59">
              <w:rPr>
                <w:i/>
              </w:rPr>
              <w:t xml:space="preserve">La </w:t>
            </w:r>
            <w:proofErr w:type="spellStart"/>
            <w:r w:rsidRPr="006D6C59">
              <w:rPr>
                <w:i/>
              </w:rPr>
              <w:t>Transdisciplinariedad</w:t>
            </w:r>
            <w:proofErr w:type="spellEnd"/>
            <w:r w:rsidRPr="006D6C59">
              <w:t>. Recuperado el 12 de septiembre de 2012, de http://www.padron.entretemas.com</w:t>
            </w:r>
            <w:r>
              <w:t>.</w:t>
            </w:r>
          </w:p>
          <w:p w:rsidR="006D6C59" w:rsidRPr="006D6C59" w:rsidRDefault="006D6C59" w:rsidP="006D6C59">
            <w:proofErr w:type="spellStart"/>
            <w:r w:rsidRPr="006D6C59">
              <w:t>Berlo</w:t>
            </w:r>
            <w:proofErr w:type="spellEnd"/>
            <w:r w:rsidRPr="006D6C59">
              <w:t>, D. (2000</w:t>
            </w:r>
            <w:r w:rsidRPr="006D6C59">
              <w:rPr>
                <w:i/>
              </w:rPr>
              <w:t xml:space="preserve">). El proceso de la comunicación: Introducción a la </w:t>
            </w:r>
            <w:r w:rsidR="009D74F6" w:rsidRPr="009D74F6">
              <w:rPr>
                <w:i/>
              </w:rPr>
              <w:t>teoría y práctica</w:t>
            </w:r>
            <w:r w:rsidR="009D74F6">
              <w:t>. Buenos Aires</w:t>
            </w:r>
            <w:proofErr w:type="gramStart"/>
            <w:r w:rsidR="009D74F6">
              <w:t xml:space="preserve">: </w:t>
            </w:r>
            <w:r w:rsidRPr="006D6C59">
              <w:t xml:space="preserve"> El</w:t>
            </w:r>
            <w:proofErr w:type="gramEnd"/>
            <w:r w:rsidRPr="006D6C59">
              <w:t xml:space="preserve"> Ateneo.</w:t>
            </w:r>
          </w:p>
          <w:p w:rsidR="006D6C59" w:rsidRPr="006D6C59" w:rsidRDefault="006D6C59" w:rsidP="006D6C59">
            <w:r w:rsidRPr="006D6C59">
              <w:t xml:space="preserve">Cabrera, A., &amp; Pelayo, N. (2001). </w:t>
            </w:r>
            <w:r w:rsidRPr="006D6C59">
              <w:rPr>
                <w:i/>
              </w:rPr>
              <w:t>Lenguaje y Comunicación</w:t>
            </w:r>
            <w:r w:rsidRPr="006D6C59">
              <w:t>. Caracas: El Nacional.</w:t>
            </w:r>
          </w:p>
          <w:p w:rsidR="006D6C59" w:rsidRPr="006D6C59" w:rsidRDefault="006D6C59" w:rsidP="006D6C59">
            <w:r w:rsidRPr="006D6C59">
              <w:t xml:space="preserve">Cuberos, R. (2004). </w:t>
            </w:r>
            <w:r w:rsidRPr="006D6C59">
              <w:rPr>
                <w:i/>
              </w:rPr>
              <w:t>Algunas escuelas de pensamiento sobre la teoría social de los medios</w:t>
            </w:r>
            <w:r w:rsidRPr="006D6C59">
              <w:t>. Recuperado el 19 de septiembre de 2012, de http://www.arq.luz.ve: http://www.arq.luz.ve/personales/rcuberos/documentos/RCUBEROS_ESCUELAS_DE_PENSAMIENTO_SOBRE_LA_TEORIA_SOCIAL_DE_LOS_MEDIOS.pdf</w:t>
            </w:r>
          </w:p>
          <w:p w:rsidR="006D6C59" w:rsidRPr="006D6C59" w:rsidRDefault="006D6C59" w:rsidP="006D6C59">
            <w:r w:rsidRPr="006D6C59">
              <w:t>Fernández, M. (2010</w:t>
            </w:r>
            <w:r w:rsidRPr="006D6C59">
              <w:rPr>
                <w:i/>
              </w:rPr>
              <w:t>). Tradición y estudios actuales de sociología de la comunicación</w:t>
            </w:r>
            <w:r w:rsidRPr="006D6C59">
              <w:t>. Revista Castellano-Mancheg</w:t>
            </w:r>
            <w:r w:rsidR="009D74F6">
              <w:t>a de Ciencias Sociales.</w:t>
            </w:r>
          </w:p>
          <w:p w:rsidR="006D6C59" w:rsidRPr="006D6C59" w:rsidRDefault="006D6C59" w:rsidP="006D6C59">
            <w:r w:rsidRPr="006D6C59">
              <w:t xml:space="preserve">Fernández, S. (1997). </w:t>
            </w:r>
            <w:proofErr w:type="spellStart"/>
            <w:r w:rsidRPr="006D6C59">
              <w:rPr>
                <w:i/>
              </w:rPr>
              <w:t>Habermas</w:t>
            </w:r>
            <w:proofErr w:type="spellEnd"/>
            <w:r w:rsidRPr="006D6C59">
              <w:rPr>
                <w:i/>
              </w:rPr>
              <w:t>: la Teoría Crítica de la Sociedad</w:t>
            </w:r>
            <w:r w:rsidRPr="006D6C59">
              <w:t>. Recuperado el 20 de septiembre de 2012, de http://redalyc.uaemex.mx</w:t>
            </w:r>
          </w:p>
          <w:p w:rsidR="006D6C59" w:rsidRPr="006D6C59" w:rsidRDefault="009D74F6" w:rsidP="006D6C59">
            <w:r>
              <w:t xml:space="preserve">Gómez, J. C., López, D. y </w:t>
            </w:r>
            <w:r w:rsidR="006D6C59" w:rsidRPr="006D6C59">
              <w:t xml:space="preserve"> Velázquez, C. (2006). </w:t>
            </w:r>
            <w:r w:rsidR="006D6C59" w:rsidRPr="006D6C59">
              <w:rPr>
                <w:i/>
              </w:rPr>
              <w:t>La Naturaleza de la Comunicación: un aporte a la discusión conceptual</w:t>
            </w:r>
            <w:r>
              <w:t xml:space="preserve">. </w:t>
            </w:r>
          </w:p>
          <w:p w:rsidR="006D6C59" w:rsidRPr="006D6C59" w:rsidRDefault="006D6C59" w:rsidP="006D6C59">
            <w:r w:rsidRPr="006D6C59">
              <w:t xml:space="preserve">López, F. (1997). </w:t>
            </w:r>
            <w:r w:rsidRPr="006D6C59">
              <w:rPr>
                <w:i/>
              </w:rPr>
              <w:t>La Ciencia de la Comunicación – Método y objeto de estudio</w:t>
            </w:r>
            <w:r w:rsidRPr="006D6C59">
              <w:t>. México: Trillas.</w:t>
            </w:r>
          </w:p>
          <w:p w:rsidR="006D6C59" w:rsidRPr="006D6C59" w:rsidRDefault="006D6C59" w:rsidP="006D6C59">
            <w:r w:rsidRPr="006D6C59">
              <w:t xml:space="preserve">Martí, D. (2008). </w:t>
            </w:r>
            <w:r w:rsidRPr="006D6C59">
              <w:rPr>
                <w:i/>
              </w:rPr>
              <w:t>Comunicación &amp; Protocolo-Perspectivas Teóricas</w:t>
            </w:r>
            <w:r w:rsidRPr="006D6C59">
              <w:t xml:space="preserve">. Icono 14-Revista de Comunicación y Nuevas </w:t>
            </w:r>
            <w:proofErr w:type="gramStart"/>
            <w:r w:rsidRPr="006D6C59">
              <w:t>Tecnologías(</w:t>
            </w:r>
            <w:proofErr w:type="gramEnd"/>
            <w:r w:rsidRPr="006D6C59">
              <w:t>No. 11), 1-25.</w:t>
            </w:r>
          </w:p>
          <w:p w:rsidR="006D6C59" w:rsidRPr="006D6C59" w:rsidRDefault="006D6C59" w:rsidP="006D6C59">
            <w:r w:rsidRPr="006D6C59">
              <w:t xml:space="preserve">Martín Serrano, M. (2007). </w:t>
            </w:r>
            <w:r w:rsidRPr="006D6C59">
              <w:rPr>
                <w:i/>
              </w:rPr>
              <w:t>Teoría de la Comunicación – La Comunicación, la vida y la sociedad</w:t>
            </w:r>
            <w:r w:rsidRPr="006D6C59">
              <w:t>. Madrid: Mc Graw-Hill / Interamericana de España.</w:t>
            </w:r>
          </w:p>
          <w:p w:rsidR="006D6C59" w:rsidRPr="006D6C59" w:rsidRDefault="006D6C59" w:rsidP="006D6C59">
            <w:proofErr w:type="spellStart"/>
            <w:r w:rsidRPr="006D6C59">
              <w:t>Mattelart</w:t>
            </w:r>
            <w:proofErr w:type="spellEnd"/>
            <w:r w:rsidRPr="006D6C59">
              <w:t>, A. y. (1997</w:t>
            </w:r>
            <w:r w:rsidRPr="006D6C59">
              <w:rPr>
                <w:i/>
              </w:rPr>
              <w:t>). Historia de las Teorías de la Comunicación</w:t>
            </w:r>
            <w:r w:rsidR="009D74F6">
              <w:t>. Buenos Aires</w:t>
            </w:r>
            <w:proofErr w:type="gramStart"/>
            <w:r w:rsidR="009D74F6">
              <w:t xml:space="preserve">: </w:t>
            </w:r>
            <w:r w:rsidRPr="006D6C59">
              <w:t xml:space="preserve"> </w:t>
            </w:r>
            <w:proofErr w:type="spellStart"/>
            <w:r w:rsidRPr="006D6C59">
              <w:t>Paidos</w:t>
            </w:r>
            <w:proofErr w:type="spellEnd"/>
            <w:proofErr w:type="gramEnd"/>
            <w:r w:rsidRPr="006D6C59">
              <w:t xml:space="preserve"> .</w:t>
            </w:r>
          </w:p>
          <w:p w:rsidR="006D6C59" w:rsidRPr="006D6C59" w:rsidRDefault="006D6C59" w:rsidP="006D6C59">
            <w:r w:rsidRPr="006D6C59">
              <w:t xml:space="preserve">Méndez, E. (2003). </w:t>
            </w:r>
            <w:r w:rsidRPr="006D6C59">
              <w:rPr>
                <w:i/>
              </w:rPr>
              <w:t>Cómo no naufragar en la era de la información. Epistemología para internautas e investigadores.</w:t>
            </w:r>
            <w:r w:rsidRPr="006D6C59">
              <w:t xml:space="preserve"> </w:t>
            </w:r>
            <w:proofErr w:type="spellStart"/>
            <w:r w:rsidRPr="006D6C59">
              <w:t>Maracvaibo</w:t>
            </w:r>
            <w:proofErr w:type="spellEnd"/>
            <w:r w:rsidRPr="006D6C59">
              <w:t xml:space="preserve">: </w:t>
            </w:r>
            <w:proofErr w:type="spellStart"/>
            <w:r w:rsidRPr="006D6C59">
              <w:t>Ediluz</w:t>
            </w:r>
            <w:proofErr w:type="spellEnd"/>
            <w:r w:rsidRPr="006D6C59">
              <w:t>.</w:t>
            </w:r>
          </w:p>
          <w:p w:rsidR="006D6C59" w:rsidRPr="006D6C59" w:rsidRDefault="006D6C59" w:rsidP="006D6C59">
            <w:r w:rsidRPr="006D6C59">
              <w:t xml:space="preserve">Pineda, M. (2004). </w:t>
            </w:r>
            <w:r w:rsidRPr="006D6C59">
              <w:rPr>
                <w:i/>
              </w:rPr>
              <w:t>La Ciencia de la Comunicación a la luz del Siglo XXI</w:t>
            </w:r>
            <w:r w:rsidRPr="006D6C59">
              <w:t>. Maracaibo: EDILUZ.</w:t>
            </w:r>
          </w:p>
          <w:p w:rsidR="006D6C59" w:rsidRPr="006D6C59" w:rsidRDefault="006D6C59" w:rsidP="006D6C59">
            <w:proofErr w:type="spellStart"/>
            <w:r w:rsidRPr="006D6C59">
              <w:lastRenderedPageBreak/>
              <w:t>Robbins</w:t>
            </w:r>
            <w:proofErr w:type="spellEnd"/>
            <w:r w:rsidRPr="006D6C59">
              <w:t xml:space="preserve">, S. (2004). </w:t>
            </w:r>
            <w:r w:rsidRPr="006D6C59">
              <w:rPr>
                <w:i/>
              </w:rPr>
              <w:t>Comportamiento Organizacional</w:t>
            </w:r>
            <w:r w:rsidR="009D74F6">
              <w:t>. México</w:t>
            </w:r>
            <w:proofErr w:type="gramStart"/>
            <w:r w:rsidR="009D74F6">
              <w:t xml:space="preserve">: </w:t>
            </w:r>
            <w:r w:rsidRPr="006D6C59">
              <w:t xml:space="preserve"> Prentice</w:t>
            </w:r>
            <w:proofErr w:type="gramEnd"/>
            <w:r w:rsidRPr="006D6C59">
              <w:t>-Hall.</w:t>
            </w:r>
          </w:p>
          <w:p w:rsidR="006D6C59" w:rsidRPr="006D6C59" w:rsidRDefault="006D6C59" w:rsidP="006D6C59">
            <w:proofErr w:type="spellStart"/>
            <w:r w:rsidRPr="006D6C59">
              <w:t>Rodriguez</w:t>
            </w:r>
            <w:proofErr w:type="spellEnd"/>
            <w:r w:rsidRPr="006D6C59">
              <w:t xml:space="preserve">, A. (2005). </w:t>
            </w:r>
            <w:r w:rsidRPr="006D6C59">
              <w:rPr>
                <w:i/>
              </w:rPr>
              <w:t>Análisis Teórico formal de los elementos que conforman</w:t>
            </w:r>
            <w:r w:rsidR="009D74F6" w:rsidRPr="009D74F6">
              <w:rPr>
                <w:i/>
              </w:rPr>
              <w:t xml:space="preserve"> la </w:t>
            </w:r>
            <w:proofErr w:type="gramStart"/>
            <w:r w:rsidR="009D74F6" w:rsidRPr="009D74F6">
              <w:rPr>
                <w:i/>
              </w:rPr>
              <w:t>comunicación</w:t>
            </w:r>
            <w:r w:rsidRPr="006D6C59">
              <w:t xml:space="preserve"> .</w:t>
            </w:r>
            <w:proofErr w:type="gramEnd"/>
            <w:r w:rsidRPr="006D6C59">
              <w:t xml:space="preserve"> Buenos</w:t>
            </w:r>
            <w:r w:rsidR="009D74F6">
              <w:t xml:space="preserve"> Aires: Siglo XXI Editores.</w:t>
            </w:r>
            <w:bookmarkStart w:id="0" w:name="_GoBack"/>
            <w:bookmarkEnd w:id="0"/>
          </w:p>
          <w:p w:rsidR="00260C90" w:rsidRDefault="00260C90" w:rsidP="003D6EAC">
            <w:pPr>
              <w:spacing w:after="0" w:line="240" w:lineRule="auto"/>
              <w:rPr>
                <w:rFonts w:ascii="Arial" w:hAnsi="Arial" w:cs="Arial"/>
                <w:sz w:val="24"/>
                <w:szCs w:val="24"/>
              </w:rPr>
            </w:pPr>
          </w:p>
          <w:p w:rsidR="00260C90" w:rsidRPr="00C47750" w:rsidRDefault="00260C90" w:rsidP="003D6EAC">
            <w:pPr>
              <w:spacing w:after="0" w:line="240" w:lineRule="auto"/>
              <w:rPr>
                <w:rFonts w:ascii="Arial" w:hAnsi="Arial" w:cs="Arial"/>
                <w:sz w:val="24"/>
                <w:szCs w:val="24"/>
              </w:rPr>
            </w:pPr>
          </w:p>
        </w:tc>
      </w:tr>
    </w:tbl>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ESTRATEGIAS METODOLÓGICAS</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15E90" w:rsidRPr="00C47750" w:rsidTr="003D6EAC">
        <w:tc>
          <w:tcPr>
            <w:tcW w:w="8978" w:type="dxa"/>
          </w:tcPr>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t xml:space="preserve">CLASES TEÓRICAS: Clases expositivas en las que se promoverá la activa participación de los alumnos. </w:t>
            </w:r>
          </w:p>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t>CLASES PRÁCTICAS: Cada tema se concluirá con la presentación de un trabajo práctico a efectos de facilitar la significación de los contenidos teóricos y la puesta en cuestión de las formulaciones teóricas abordadas en la unidad. Estas presentaciones serán sometidas a la discusión plenaria.</w:t>
            </w:r>
          </w:p>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t>RECURSOS TÉCNICOS: En la medida de las necesidades se utilizarán proyector multimedia, acceso a internet y amplificador de sonido para la visualización de videos.</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REGULARIDAD</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15E90" w:rsidRPr="00C47750" w:rsidTr="003D6EAC">
        <w:tc>
          <w:tcPr>
            <w:tcW w:w="8978" w:type="dxa"/>
          </w:tcPr>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t>La regularidad se obtendrá mediante la asistencia al 70% de las clases teóricas y la asistencia y aprobación del 100% de las clases prácticas y la aprobación de las dos evaluaciones parciales con un puntaje superior al 60%. Cada parcial y trabajo práctico tendrá una recuperación.</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EVALUACIÓN Y PROMOCIÓN</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15E90" w:rsidRPr="00C47750" w:rsidTr="003D6EAC">
        <w:tc>
          <w:tcPr>
            <w:tcW w:w="8978" w:type="dxa"/>
          </w:tcPr>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t>El programa de evaluación de adquisición de contenidos se aplicará mediante dos evaluaciones parciales con consignas a desarrollar. Los estudiantes tendrán la opción de recuperar una vez cada uno de ellos.</w:t>
            </w:r>
          </w:p>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t>La evaluación final para la promoción se desarrollará en cada turno de examen de acuerdo a las disposiciones de la Universidad.</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CRONOGRAMA DE EVALUACIONES</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071"/>
        <w:gridCol w:w="4422"/>
      </w:tblGrid>
      <w:tr w:rsidR="00015E90" w:rsidRPr="00C47750" w:rsidTr="00C11C83">
        <w:tc>
          <w:tcPr>
            <w:tcW w:w="2335" w:type="dxa"/>
            <w:vMerge w:val="restart"/>
          </w:tcPr>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t>Primera Evaluación Parcial (Módulos 1 y 2)</w:t>
            </w:r>
          </w:p>
        </w:tc>
        <w:tc>
          <w:tcPr>
            <w:tcW w:w="2071" w:type="dxa"/>
          </w:tcPr>
          <w:p w:rsidR="00015E90" w:rsidRPr="00C47750" w:rsidRDefault="00015E90" w:rsidP="003D6EAC">
            <w:pPr>
              <w:spacing w:after="0" w:line="240" w:lineRule="auto"/>
              <w:rPr>
                <w:rFonts w:ascii="Arial" w:hAnsi="Arial" w:cs="Arial"/>
                <w:sz w:val="24"/>
                <w:szCs w:val="24"/>
              </w:rPr>
            </w:pPr>
          </w:p>
        </w:tc>
        <w:tc>
          <w:tcPr>
            <w:tcW w:w="4422" w:type="dxa"/>
          </w:tcPr>
          <w:p w:rsidR="00015E90" w:rsidRPr="00C47750" w:rsidRDefault="00015E90" w:rsidP="003D6EAC">
            <w:pPr>
              <w:spacing w:after="0" w:line="240" w:lineRule="auto"/>
              <w:rPr>
                <w:rFonts w:ascii="Arial" w:hAnsi="Arial" w:cs="Arial"/>
                <w:sz w:val="24"/>
                <w:szCs w:val="24"/>
              </w:rPr>
            </w:pPr>
          </w:p>
        </w:tc>
      </w:tr>
      <w:tr w:rsidR="00015E90" w:rsidRPr="00C47750" w:rsidTr="00C11C83">
        <w:tc>
          <w:tcPr>
            <w:tcW w:w="2335" w:type="dxa"/>
            <w:vMerge/>
          </w:tcPr>
          <w:p w:rsidR="00015E90" w:rsidRPr="00C47750" w:rsidRDefault="00015E90" w:rsidP="003D6EAC">
            <w:pPr>
              <w:spacing w:after="0" w:line="240" w:lineRule="auto"/>
              <w:rPr>
                <w:rFonts w:ascii="Arial" w:hAnsi="Arial" w:cs="Arial"/>
                <w:sz w:val="24"/>
                <w:szCs w:val="24"/>
              </w:rPr>
            </w:pPr>
          </w:p>
        </w:tc>
        <w:tc>
          <w:tcPr>
            <w:tcW w:w="2071" w:type="dxa"/>
          </w:tcPr>
          <w:p w:rsidR="00015E90" w:rsidRPr="00C47750" w:rsidRDefault="000825DE" w:rsidP="003D6EAC">
            <w:pPr>
              <w:spacing w:after="0" w:line="240" w:lineRule="auto"/>
              <w:rPr>
                <w:rFonts w:ascii="Arial" w:hAnsi="Arial" w:cs="Arial"/>
                <w:sz w:val="24"/>
                <w:szCs w:val="24"/>
              </w:rPr>
            </w:pPr>
            <w:r>
              <w:rPr>
                <w:rFonts w:ascii="Arial" w:hAnsi="Arial" w:cs="Arial"/>
                <w:sz w:val="24"/>
                <w:szCs w:val="24"/>
              </w:rPr>
              <w:t>25 de Abril de 2018</w:t>
            </w:r>
          </w:p>
        </w:tc>
        <w:tc>
          <w:tcPr>
            <w:tcW w:w="4422" w:type="dxa"/>
          </w:tcPr>
          <w:p w:rsidR="00015E90" w:rsidRPr="00C47750" w:rsidRDefault="004876D0" w:rsidP="003D6EAC">
            <w:pPr>
              <w:spacing w:after="0" w:line="240" w:lineRule="auto"/>
              <w:rPr>
                <w:rFonts w:ascii="Arial" w:hAnsi="Arial" w:cs="Arial"/>
                <w:sz w:val="24"/>
                <w:szCs w:val="24"/>
              </w:rPr>
            </w:pPr>
            <w:r>
              <w:rPr>
                <w:rFonts w:ascii="Arial" w:hAnsi="Arial" w:cs="Arial"/>
                <w:sz w:val="24"/>
                <w:szCs w:val="24"/>
              </w:rPr>
              <w:t xml:space="preserve">Comisión </w:t>
            </w:r>
            <w:r w:rsidR="00015E90" w:rsidRPr="00C47750">
              <w:rPr>
                <w:rFonts w:ascii="Arial" w:hAnsi="Arial" w:cs="Arial"/>
                <w:sz w:val="24"/>
                <w:szCs w:val="24"/>
              </w:rPr>
              <w:t xml:space="preserve"> turno noche</w:t>
            </w:r>
          </w:p>
        </w:tc>
      </w:tr>
      <w:tr w:rsidR="00015E90" w:rsidRPr="00C47750" w:rsidTr="00C11C83">
        <w:tc>
          <w:tcPr>
            <w:tcW w:w="2335" w:type="dxa"/>
            <w:vMerge w:val="restart"/>
          </w:tcPr>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t>Segunda Evaluación Parcial (Módulos  3)</w:t>
            </w:r>
          </w:p>
        </w:tc>
        <w:tc>
          <w:tcPr>
            <w:tcW w:w="2071" w:type="dxa"/>
          </w:tcPr>
          <w:p w:rsidR="00015E90" w:rsidRPr="00C47750" w:rsidRDefault="000825DE" w:rsidP="003D6EAC">
            <w:pPr>
              <w:spacing w:after="0" w:line="240" w:lineRule="auto"/>
              <w:rPr>
                <w:rFonts w:ascii="Arial" w:hAnsi="Arial" w:cs="Arial"/>
                <w:sz w:val="24"/>
                <w:szCs w:val="24"/>
              </w:rPr>
            </w:pPr>
            <w:r>
              <w:rPr>
                <w:rFonts w:ascii="Arial" w:hAnsi="Arial" w:cs="Arial"/>
                <w:sz w:val="24"/>
                <w:szCs w:val="24"/>
              </w:rPr>
              <w:t>29 de mayo de 2018</w:t>
            </w:r>
          </w:p>
        </w:tc>
        <w:tc>
          <w:tcPr>
            <w:tcW w:w="4422" w:type="dxa"/>
          </w:tcPr>
          <w:p w:rsidR="00015E90" w:rsidRPr="00C47750" w:rsidRDefault="000825DE" w:rsidP="003D6EAC">
            <w:pPr>
              <w:spacing w:after="0" w:line="240" w:lineRule="auto"/>
              <w:rPr>
                <w:rFonts w:ascii="Arial" w:hAnsi="Arial" w:cs="Arial"/>
                <w:sz w:val="24"/>
                <w:szCs w:val="24"/>
              </w:rPr>
            </w:pPr>
            <w:r w:rsidRPr="000825DE">
              <w:rPr>
                <w:rFonts w:ascii="Arial" w:hAnsi="Arial" w:cs="Arial"/>
                <w:sz w:val="24"/>
                <w:szCs w:val="24"/>
              </w:rPr>
              <w:t>Comisión  turno noche</w:t>
            </w:r>
          </w:p>
        </w:tc>
      </w:tr>
      <w:tr w:rsidR="00015E90" w:rsidRPr="00C47750" w:rsidTr="00C11C83">
        <w:tc>
          <w:tcPr>
            <w:tcW w:w="2335" w:type="dxa"/>
            <w:vMerge/>
          </w:tcPr>
          <w:p w:rsidR="00015E90" w:rsidRPr="00C47750" w:rsidRDefault="00015E90" w:rsidP="003D6EAC">
            <w:pPr>
              <w:spacing w:after="0" w:line="240" w:lineRule="auto"/>
              <w:rPr>
                <w:rFonts w:ascii="Arial" w:hAnsi="Arial" w:cs="Arial"/>
                <w:sz w:val="24"/>
                <w:szCs w:val="24"/>
              </w:rPr>
            </w:pPr>
          </w:p>
        </w:tc>
        <w:tc>
          <w:tcPr>
            <w:tcW w:w="2071" w:type="dxa"/>
          </w:tcPr>
          <w:p w:rsidR="00015E90" w:rsidRPr="00C47750" w:rsidRDefault="00015E90" w:rsidP="003D6EAC">
            <w:pPr>
              <w:spacing w:after="0" w:line="240" w:lineRule="auto"/>
              <w:rPr>
                <w:rFonts w:ascii="Arial" w:hAnsi="Arial" w:cs="Arial"/>
                <w:sz w:val="24"/>
                <w:szCs w:val="24"/>
              </w:rPr>
            </w:pPr>
          </w:p>
        </w:tc>
        <w:tc>
          <w:tcPr>
            <w:tcW w:w="4422" w:type="dxa"/>
          </w:tcPr>
          <w:p w:rsidR="00015E90" w:rsidRPr="00C47750" w:rsidRDefault="00015E90" w:rsidP="003D6EAC">
            <w:pPr>
              <w:spacing w:after="0" w:line="240" w:lineRule="auto"/>
              <w:rPr>
                <w:rFonts w:ascii="Arial" w:hAnsi="Arial" w:cs="Arial"/>
                <w:sz w:val="24"/>
                <w:szCs w:val="24"/>
              </w:rPr>
            </w:pP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jc w:val="center"/>
        <w:rPr>
          <w:rFonts w:ascii="Arial" w:hAnsi="Arial" w:cs="Arial"/>
          <w:b/>
          <w:sz w:val="24"/>
          <w:szCs w:val="24"/>
        </w:rPr>
      </w:pPr>
      <w:r w:rsidRPr="00C47750">
        <w:rPr>
          <w:rFonts w:ascii="Arial" w:hAnsi="Arial" w:cs="Arial"/>
          <w:b/>
          <w:sz w:val="24"/>
          <w:szCs w:val="24"/>
        </w:rPr>
        <w:t>RECUPERATORIOS</w:t>
      </w:r>
    </w:p>
    <w:p w:rsidR="00015E90" w:rsidRPr="00C47750" w:rsidRDefault="00015E90" w:rsidP="00015E90">
      <w:pPr>
        <w:spacing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2205"/>
        <w:gridCol w:w="4016"/>
      </w:tblGrid>
      <w:tr w:rsidR="00015E90" w:rsidRPr="00C47750" w:rsidTr="0045546F">
        <w:tc>
          <w:tcPr>
            <w:tcW w:w="2607" w:type="dxa"/>
            <w:vMerge w:val="restart"/>
          </w:tcPr>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lastRenderedPageBreak/>
              <w:t>Primera Evaluación Parcial (Módulos 1, 2 y 3)</w:t>
            </w:r>
          </w:p>
        </w:tc>
        <w:tc>
          <w:tcPr>
            <w:tcW w:w="2205" w:type="dxa"/>
          </w:tcPr>
          <w:p w:rsidR="00015E90" w:rsidRPr="00C47750" w:rsidRDefault="000825DE" w:rsidP="003D6EAC">
            <w:pPr>
              <w:spacing w:after="0" w:line="240" w:lineRule="auto"/>
              <w:rPr>
                <w:rFonts w:ascii="Arial" w:hAnsi="Arial" w:cs="Arial"/>
                <w:sz w:val="24"/>
                <w:szCs w:val="24"/>
              </w:rPr>
            </w:pPr>
            <w:r>
              <w:rPr>
                <w:rFonts w:ascii="Arial" w:hAnsi="Arial" w:cs="Arial"/>
                <w:sz w:val="24"/>
                <w:szCs w:val="24"/>
              </w:rPr>
              <w:t>5 de junio de 2018</w:t>
            </w:r>
          </w:p>
        </w:tc>
        <w:tc>
          <w:tcPr>
            <w:tcW w:w="4016" w:type="dxa"/>
          </w:tcPr>
          <w:p w:rsidR="00015E90" w:rsidRPr="00C47750" w:rsidRDefault="008315F0" w:rsidP="003D6EAC">
            <w:pPr>
              <w:spacing w:after="0" w:line="240" w:lineRule="auto"/>
              <w:rPr>
                <w:rFonts w:ascii="Arial" w:hAnsi="Arial" w:cs="Arial"/>
                <w:sz w:val="24"/>
                <w:szCs w:val="24"/>
              </w:rPr>
            </w:pPr>
            <w:r>
              <w:rPr>
                <w:rFonts w:ascii="Arial" w:hAnsi="Arial" w:cs="Arial"/>
                <w:sz w:val="24"/>
                <w:szCs w:val="24"/>
              </w:rPr>
              <w:t>Comisión turno noche</w:t>
            </w:r>
          </w:p>
        </w:tc>
      </w:tr>
      <w:tr w:rsidR="00015E90" w:rsidRPr="00C47750" w:rsidTr="0045546F">
        <w:tc>
          <w:tcPr>
            <w:tcW w:w="2607" w:type="dxa"/>
            <w:vMerge/>
          </w:tcPr>
          <w:p w:rsidR="00015E90" w:rsidRPr="00C47750" w:rsidRDefault="00015E90" w:rsidP="003D6EAC">
            <w:pPr>
              <w:spacing w:after="0" w:line="240" w:lineRule="auto"/>
              <w:rPr>
                <w:rFonts w:ascii="Arial" w:hAnsi="Arial" w:cs="Arial"/>
                <w:sz w:val="24"/>
                <w:szCs w:val="24"/>
              </w:rPr>
            </w:pPr>
          </w:p>
        </w:tc>
        <w:tc>
          <w:tcPr>
            <w:tcW w:w="2205" w:type="dxa"/>
          </w:tcPr>
          <w:p w:rsidR="00015E90" w:rsidRPr="00C47750" w:rsidRDefault="00015E90" w:rsidP="003D6EAC">
            <w:pPr>
              <w:spacing w:after="0" w:line="240" w:lineRule="auto"/>
              <w:rPr>
                <w:rFonts w:ascii="Arial" w:hAnsi="Arial" w:cs="Arial"/>
                <w:sz w:val="24"/>
                <w:szCs w:val="24"/>
              </w:rPr>
            </w:pPr>
          </w:p>
        </w:tc>
        <w:tc>
          <w:tcPr>
            <w:tcW w:w="4016" w:type="dxa"/>
          </w:tcPr>
          <w:p w:rsidR="00015E90" w:rsidRPr="00C47750" w:rsidRDefault="00015E90" w:rsidP="003D6EAC">
            <w:pPr>
              <w:spacing w:after="0" w:line="240" w:lineRule="auto"/>
              <w:rPr>
                <w:rFonts w:ascii="Arial" w:hAnsi="Arial" w:cs="Arial"/>
                <w:sz w:val="24"/>
                <w:szCs w:val="24"/>
              </w:rPr>
            </w:pPr>
          </w:p>
        </w:tc>
      </w:tr>
      <w:tr w:rsidR="00015E90" w:rsidRPr="00C47750" w:rsidTr="0045546F">
        <w:tc>
          <w:tcPr>
            <w:tcW w:w="2607" w:type="dxa"/>
            <w:vMerge w:val="restart"/>
          </w:tcPr>
          <w:p w:rsidR="00015E90" w:rsidRPr="00C47750" w:rsidRDefault="00015E90" w:rsidP="003D6EAC">
            <w:pPr>
              <w:spacing w:after="0" w:line="240" w:lineRule="auto"/>
              <w:rPr>
                <w:rFonts w:ascii="Arial" w:hAnsi="Arial" w:cs="Arial"/>
                <w:sz w:val="24"/>
                <w:szCs w:val="24"/>
              </w:rPr>
            </w:pPr>
            <w:r w:rsidRPr="00C47750">
              <w:rPr>
                <w:rFonts w:ascii="Arial" w:hAnsi="Arial" w:cs="Arial"/>
                <w:sz w:val="24"/>
                <w:szCs w:val="24"/>
              </w:rPr>
              <w:t>Segunda Evaluación Parcial (Módulos  4, 5 y 6)</w:t>
            </w:r>
          </w:p>
        </w:tc>
        <w:tc>
          <w:tcPr>
            <w:tcW w:w="2205" w:type="dxa"/>
          </w:tcPr>
          <w:p w:rsidR="00015E90" w:rsidRPr="00C47750" w:rsidRDefault="008315F0" w:rsidP="003D6EAC">
            <w:pPr>
              <w:spacing w:after="0" w:line="240" w:lineRule="auto"/>
              <w:rPr>
                <w:rFonts w:ascii="Arial" w:hAnsi="Arial" w:cs="Arial"/>
                <w:sz w:val="24"/>
                <w:szCs w:val="24"/>
              </w:rPr>
            </w:pPr>
            <w:r>
              <w:rPr>
                <w:rFonts w:ascii="Arial" w:hAnsi="Arial" w:cs="Arial"/>
                <w:sz w:val="24"/>
                <w:szCs w:val="24"/>
              </w:rPr>
              <w:t>12 de junio de 2018</w:t>
            </w:r>
          </w:p>
        </w:tc>
        <w:tc>
          <w:tcPr>
            <w:tcW w:w="4016" w:type="dxa"/>
          </w:tcPr>
          <w:p w:rsidR="00015E90" w:rsidRPr="00C47750" w:rsidRDefault="008315F0" w:rsidP="003D6EAC">
            <w:pPr>
              <w:spacing w:after="0" w:line="240" w:lineRule="auto"/>
              <w:rPr>
                <w:rFonts w:ascii="Arial" w:hAnsi="Arial" w:cs="Arial"/>
                <w:sz w:val="24"/>
                <w:szCs w:val="24"/>
              </w:rPr>
            </w:pPr>
            <w:r>
              <w:rPr>
                <w:rFonts w:ascii="Arial" w:hAnsi="Arial" w:cs="Arial"/>
                <w:sz w:val="24"/>
                <w:szCs w:val="24"/>
              </w:rPr>
              <w:t>Comisión turno noche</w:t>
            </w:r>
          </w:p>
        </w:tc>
      </w:tr>
      <w:tr w:rsidR="00015E90" w:rsidRPr="00C47750" w:rsidTr="0045546F">
        <w:tc>
          <w:tcPr>
            <w:tcW w:w="2607" w:type="dxa"/>
            <w:vMerge/>
          </w:tcPr>
          <w:p w:rsidR="00015E90" w:rsidRPr="00C47750" w:rsidRDefault="00015E90" w:rsidP="003D6EAC">
            <w:pPr>
              <w:spacing w:after="0" w:line="240" w:lineRule="auto"/>
              <w:rPr>
                <w:rFonts w:ascii="Arial" w:hAnsi="Arial" w:cs="Arial"/>
                <w:sz w:val="24"/>
                <w:szCs w:val="24"/>
              </w:rPr>
            </w:pPr>
          </w:p>
        </w:tc>
        <w:tc>
          <w:tcPr>
            <w:tcW w:w="2205" w:type="dxa"/>
          </w:tcPr>
          <w:p w:rsidR="00015E90" w:rsidRPr="00C47750" w:rsidRDefault="00015E90" w:rsidP="003D6EAC">
            <w:pPr>
              <w:spacing w:after="0" w:line="240" w:lineRule="auto"/>
              <w:rPr>
                <w:rFonts w:ascii="Arial" w:hAnsi="Arial" w:cs="Arial"/>
                <w:sz w:val="24"/>
                <w:szCs w:val="24"/>
              </w:rPr>
            </w:pPr>
          </w:p>
        </w:tc>
        <w:tc>
          <w:tcPr>
            <w:tcW w:w="4016" w:type="dxa"/>
          </w:tcPr>
          <w:p w:rsidR="00015E90" w:rsidRPr="00C47750" w:rsidRDefault="00015E90" w:rsidP="003D6EAC">
            <w:pPr>
              <w:spacing w:after="0" w:line="240" w:lineRule="auto"/>
              <w:rPr>
                <w:rFonts w:ascii="Arial" w:hAnsi="Arial" w:cs="Arial"/>
                <w:sz w:val="24"/>
                <w:szCs w:val="24"/>
              </w:rPr>
            </w:pPr>
          </w:p>
        </w:tc>
      </w:tr>
    </w:tbl>
    <w:p w:rsidR="00015E90" w:rsidRPr="00C47750" w:rsidRDefault="00015E90" w:rsidP="00015E90">
      <w:pPr>
        <w:spacing w:after="0" w:line="240" w:lineRule="auto"/>
        <w:jc w:val="center"/>
        <w:rPr>
          <w:rFonts w:ascii="Arial" w:hAnsi="Arial" w:cs="Arial"/>
          <w:sz w:val="24"/>
          <w:szCs w:val="24"/>
        </w:rPr>
      </w:pPr>
    </w:p>
    <w:p w:rsidR="00015E90" w:rsidRPr="00C47750" w:rsidRDefault="00015E90" w:rsidP="00015E90">
      <w:pPr>
        <w:spacing w:after="0" w:line="240" w:lineRule="auto"/>
        <w:jc w:val="center"/>
        <w:rPr>
          <w:rFonts w:ascii="Arial" w:hAnsi="Arial" w:cs="Arial"/>
          <w:sz w:val="24"/>
          <w:szCs w:val="24"/>
        </w:rPr>
      </w:pPr>
    </w:p>
    <w:p w:rsidR="00015E90" w:rsidRPr="00C47750" w:rsidRDefault="008315F0" w:rsidP="00015E90">
      <w:pPr>
        <w:spacing w:after="0" w:line="240" w:lineRule="auto"/>
        <w:jc w:val="center"/>
        <w:rPr>
          <w:rFonts w:ascii="Arial" w:hAnsi="Arial" w:cs="Arial"/>
          <w:sz w:val="24"/>
          <w:szCs w:val="24"/>
        </w:rPr>
      </w:pPr>
      <w:r>
        <w:rPr>
          <w:rFonts w:ascii="Arial" w:hAnsi="Arial" w:cs="Arial"/>
          <w:sz w:val="24"/>
          <w:szCs w:val="24"/>
        </w:rPr>
        <w:t>Magíster Mario Fabián Maure</w:t>
      </w:r>
    </w:p>
    <w:p w:rsidR="00015E90" w:rsidRPr="00C47750" w:rsidRDefault="00015E90" w:rsidP="00015E90">
      <w:pPr>
        <w:spacing w:after="0" w:line="240" w:lineRule="auto"/>
        <w:jc w:val="center"/>
        <w:rPr>
          <w:rFonts w:ascii="Arial" w:hAnsi="Arial" w:cs="Arial"/>
        </w:rPr>
      </w:pPr>
    </w:p>
    <w:p w:rsidR="000A2FF0" w:rsidRPr="00C47750" w:rsidRDefault="000A2FF0">
      <w:pPr>
        <w:rPr>
          <w:rFonts w:ascii="Arial" w:hAnsi="Arial" w:cs="Arial"/>
        </w:rPr>
      </w:pPr>
    </w:p>
    <w:sectPr w:rsidR="000A2FF0" w:rsidRPr="00C47750" w:rsidSect="004B1C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86" w:rsidRDefault="00FA0686" w:rsidP="003661D8">
      <w:pPr>
        <w:spacing w:after="0" w:line="240" w:lineRule="auto"/>
      </w:pPr>
      <w:r>
        <w:separator/>
      </w:r>
    </w:p>
  </w:endnote>
  <w:endnote w:type="continuationSeparator" w:id="0">
    <w:p w:rsidR="00FA0686" w:rsidRDefault="00FA0686" w:rsidP="0036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583933"/>
      <w:docPartObj>
        <w:docPartGallery w:val="Page Numbers (Bottom of Page)"/>
        <w:docPartUnique/>
      </w:docPartObj>
    </w:sdtPr>
    <w:sdtEndPr/>
    <w:sdtContent>
      <w:p w:rsidR="003D6EAC" w:rsidRDefault="003D6EAC">
        <w:pPr>
          <w:pStyle w:val="Piedepgina"/>
          <w:jc w:val="right"/>
        </w:pPr>
        <w:r>
          <w:fldChar w:fldCharType="begin"/>
        </w:r>
        <w:r>
          <w:instrText>PAGE   \* MERGEFORMAT</w:instrText>
        </w:r>
        <w:r>
          <w:fldChar w:fldCharType="separate"/>
        </w:r>
        <w:r w:rsidR="009D74F6" w:rsidRPr="009D74F6">
          <w:rPr>
            <w:noProof/>
            <w:lang w:val="es-ES"/>
          </w:rPr>
          <w:t>7</w:t>
        </w:r>
        <w:r>
          <w:fldChar w:fldCharType="end"/>
        </w:r>
      </w:p>
    </w:sdtContent>
  </w:sdt>
  <w:p w:rsidR="003D6EAC" w:rsidRDefault="003D6E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86" w:rsidRDefault="00FA0686" w:rsidP="003661D8">
      <w:pPr>
        <w:spacing w:after="0" w:line="240" w:lineRule="auto"/>
      </w:pPr>
      <w:r>
        <w:separator/>
      </w:r>
    </w:p>
  </w:footnote>
  <w:footnote w:type="continuationSeparator" w:id="0">
    <w:p w:rsidR="00FA0686" w:rsidRDefault="00FA0686" w:rsidP="00366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AC" w:rsidRDefault="003D6EAC" w:rsidP="00C477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AC" w:rsidRPr="00C47750" w:rsidRDefault="003D6EAC" w:rsidP="00C47750">
    <w:pPr>
      <w:pStyle w:val="Encabezado"/>
      <w:jc w:val="center"/>
    </w:pPr>
    <w:r>
      <w:rPr>
        <w:noProof/>
        <w:lang w:eastAsia="es-AR"/>
      </w:rPr>
      <w:drawing>
        <wp:inline distT="0" distB="0" distL="0" distR="0" wp14:anchorId="13BF0A06" wp14:editId="22F04BEB">
          <wp:extent cx="2428875" cy="657422"/>
          <wp:effectExtent l="19050" t="0" r="9525" b="0"/>
          <wp:docPr id="3"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B.png"/>
                  <pic:cNvPicPr/>
                </pic:nvPicPr>
                <pic:blipFill>
                  <a:blip r:embed="rId1"/>
                  <a:stretch>
                    <a:fillRect/>
                  </a:stretch>
                </pic:blipFill>
                <pic:spPr>
                  <a:xfrm>
                    <a:off x="0" y="0"/>
                    <a:ext cx="2429777" cy="6576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136C"/>
    <w:rsid w:val="000001E6"/>
    <w:rsid w:val="00015E90"/>
    <w:rsid w:val="00023A22"/>
    <w:rsid w:val="00025E6C"/>
    <w:rsid w:val="00042DAE"/>
    <w:rsid w:val="0006777C"/>
    <w:rsid w:val="000825DE"/>
    <w:rsid w:val="000839FC"/>
    <w:rsid w:val="000A2FF0"/>
    <w:rsid w:val="000D2504"/>
    <w:rsid w:val="00137ECF"/>
    <w:rsid w:val="001422AE"/>
    <w:rsid w:val="00160C5B"/>
    <w:rsid w:val="00197DD0"/>
    <w:rsid w:val="001D46F4"/>
    <w:rsid w:val="00202FAD"/>
    <w:rsid w:val="00214AAF"/>
    <w:rsid w:val="00220B28"/>
    <w:rsid w:val="00260C90"/>
    <w:rsid w:val="00275D3D"/>
    <w:rsid w:val="002E7585"/>
    <w:rsid w:val="00307895"/>
    <w:rsid w:val="003646FB"/>
    <w:rsid w:val="003661D8"/>
    <w:rsid w:val="003A318F"/>
    <w:rsid w:val="003D6EAC"/>
    <w:rsid w:val="0045546F"/>
    <w:rsid w:val="004824A2"/>
    <w:rsid w:val="00485CAD"/>
    <w:rsid w:val="004876D0"/>
    <w:rsid w:val="004A481C"/>
    <w:rsid w:val="004B1CA0"/>
    <w:rsid w:val="00524CF4"/>
    <w:rsid w:val="00562312"/>
    <w:rsid w:val="005857F9"/>
    <w:rsid w:val="00594908"/>
    <w:rsid w:val="005A7989"/>
    <w:rsid w:val="005E5A09"/>
    <w:rsid w:val="005E738B"/>
    <w:rsid w:val="005F6B57"/>
    <w:rsid w:val="0063735B"/>
    <w:rsid w:val="0065158A"/>
    <w:rsid w:val="006703D6"/>
    <w:rsid w:val="006734FF"/>
    <w:rsid w:val="006A2E18"/>
    <w:rsid w:val="006D6C59"/>
    <w:rsid w:val="006F3A84"/>
    <w:rsid w:val="00701A50"/>
    <w:rsid w:val="007068AA"/>
    <w:rsid w:val="0071485A"/>
    <w:rsid w:val="0077136C"/>
    <w:rsid w:val="007A0C9F"/>
    <w:rsid w:val="007D5BEC"/>
    <w:rsid w:val="008315F0"/>
    <w:rsid w:val="0085174D"/>
    <w:rsid w:val="008C6B77"/>
    <w:rsid w:val="008E5B5E"/>
    <w:rsid w:val="00967A32"/>
    <w:rsid w:val="009A6C33"/>
    <w:rsid w:val="009D74F6"/>
    <w:rsid w:val="009E2899"/>
    <w:rsid w:val="009F7BDD"/>
    <w:rsid w:val="00A01A69"/>
    <w:rsid w:val="00A4448F"/>
    <w:rsid w:val="00A557A0"/>
    <w:rsid w:val="00AC014E"/>
    <w:rsid w:val="00AC3DF8"/>
    <w:rsid w:val="00B167CA"/>
    <w:rsid w:val="00B27B82"/>
    <w:rsid w:val="00B27C4C"/>
    <w:rsid w:val="00BD433C"/>
    <w:rsid w:val="00C11C83"/>
    <w:rsid w:val="00C47750"/>
    <w:rsid w:val="00C66F51"/>
    <w:rsid w:val="00CA2821"/>
    <w:rsid w:val="00CB087C"/>
    <w:rsid w:val="00CD11A6"/>
    <w:rsid w:val="00D414D2"/>
    <w:rsid w:val="00D625DD"/>
    <w:rsid w:val="00E27F5B"/>
    <w:rsid w:val="00E319CF"/>
    <w:rsid w:val="00E37158"/>
    <w:rsid w:val="00E66B6F"/>
    <w:rsid w:val="00E8220B"/>
    <w:rsid w:val="00F24538"/>
    <w:rsid w:val="00F5461A"/>
    <w:rsid w:val="00FA0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750"/>
    <w:rPr>
      <w:rFonts w:ascii="Tahoma" w:eastAsia="Calibri" w:hAnsi="Tahoma" w:cs="Tahoma"/>
      <w:sz w:val="16"/>
      <w:szCs w:val="16"/>
      <w:lang w:val="es-AR"/>
    </w:rPr>
  </w:style>
  <w:style w:type="paragraph" w:styleId="Prrafodelista">
    <w:name w:val="List Paragraph"/>
    <w:basedOn w:val="Normal"/>
    <w:uiPriority w:val="34"/>
    <w:qFormat/>
    <w:rsid w:val="006F3A84"/>
    <w:pPr>
      <w:ind w:left="720"/>
      <w:contextualSpacing/>
    </w:pPr>
  </w:style>
  <w:style w:type="character" w:styleId="Hipervnculo">
    <w:name w:val="Hyperlink"/>
    <w:basedOn w:val="Fuentedeprrafopredeter"/>
    <w:uiPriority w:val="99"/>
    <w:unhideWhenUsed/>
    <w:rsid w:val="004A48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lfire.com/folk/celtiberia/neilpostma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8</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mario pollo</cp:lastModifiedBy>
  <cp:revision>40</cp:revision>
  <cp:lastPrinted>2018-02-27T14:12:00Z</cp:lastPrinted>
  <dcterms:created xsi:type="dcterms:W3CDTF">2018-02-27T15:05:00Z</dcterms:created>
  <dcterms:modified xsi:type="dcterms:W3CDTF">2018-03-14T13:37:00Z</dcterms:modified>
</cp:coreProperties>
</file>